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BE61" w14:textId="7129F16E" w:rsidR="003C5519" w:rsidRPr="001B1CD0" w:rsidRDefault="00ED46BE" w:rsidP="00ED46BE">
      <w:pPr>
        <w:pStyle w:val="Title"/>
        <w:rPr>
          <w:rFonts w:ascii="Times New Roman" w:hAnsi="Times New Roman" w:cs="Times New Roman"/>
        </w:rPr>
      </w:pPr>
      <w:r w:rsidRPr="001B1CD0">
        <w:rPr>
          <w:rFonts w:ascii="Times New Roman" w:hAnsi="Times New Roman" w:cs="Times New Roman"/>
        </w:rPr>
        <w:t>Title III &amp; VII</w:t>
      </w:r>
      <w:r w:rsidR="00CF7E6E" w:rsidRPr="001B1CD0">
        <w:rPr>
          <w:rFonts w:ascii="Times New Roman" w:hAnsi="Times New Roman" w:cs="Times New Roman"/>
        </w:rPr>
        <w:t xml:space="preserve"> 4-Year Area Plan</w:t>
      </w:r>
    </w:p>
    <w:p w14:paraId="7137BE86" w14:textId="77777777" w:rsidR="000E7117" w:rsidRPr="000E7117" w:rsidRDefault="000E7117" w:rsidP="000E7117">
      <w:pPr>
        <w:spacing w:after="0"/>
      </w:pPr>
    </w:p>
    <w:p w14:paraId="14289C03" w14:textId="77777777" w:rsidR="005E2907" w:rsidRDefault="0050107C" w:rsidP="000E7117">
      <w:pPr>
        <w:pStyle w:val="Subtitle"/>
        <w:spacing w:after="0"/>
        <w:rPr>
          <w:rFonts w:ascii="Times New Roman" w:hAnsi="Times New Roman" w:cs="Times New Roman"/>
          <w:sz w:val="40"/>
          <w:szCs w:val="40"/>
        </w:rPr>
      </w:pPr>
      <w:r w:rsidRPr="001B1CD0">
        <w:rPr>
          <w:rFonts w:ascii="Times New Roman" w:hAnsi="Times New Roman" w:cs="Times New Roman"/>
          <w:sz w:val="40"/>
          <w:szCs w:val="40"/>
        </w:rPr>
        <w:t>East Central Council of Governments (ECCOG)</w:t>
      </w:r>
      <w:r w:rsidR="00EE09B9" w:rsidRPr="001B1CD0">
        <w:rPr>
          <w:rFonts w:ascii="Times New Roman" w:hAnsi="Times New Roman" w:cs="Times New Roman"/>
          <w:sz w:val="40"/>
          <w:szCs w:val="40"/>
        </w:rPr>
        <w:t>,</w:t>
      </w:r>
      <w:r w:rsidRPr="001B1CD0">
        <w:rPr>
          <w:rFonts w:ascii="Times New Roman" w:hAnsi="Times New Roman" w:cs="Times New Roman"/>
          <w:sz w:val="40"/>
          <w:szCs w:val="40"/>
        </w:rPr>
        <w:t xml:space="preserve"> </w:t>
      </w:r>
    </w:p>
    <w:p w14:paraId="11E892A0" w14:textId="428C1C5B" w:rsidR="0050107C" w:rsidRPr="001B1CD0" w:rsidRDefault="0050107C" w:rsidP="000E7117">
      <w:pPr>
        <w:pStyle w:val="Subtitle"/>
        <w:spacing w:after="0"/>
        <w:rPr>
          <w:rFonts w:ascii="Times New Roman" w:hAnsi="Times New Roman" w:cs="Times New Roman"/>
          <w:sz w:val="40"/>
          <w:szCs w:val="40"/>
        </w:rPr>
      </w:pPr>
      <w:r w:rsidRPr="001B1CD0">
        <w:rPr>
          <w:rFonts w:ascii="Times New Roman" w:hAnsi="Times New Roman" w:cs="Times New Roman"/>
          <w:sz w:val="40"/>
          <w:szCs w:val="40"/>
        </w:rPr>
        <w:t>Area Agency on Aging</w:t>
      </w:r>
      <w:r w:rsidR="00EE09B9" w:rsidRPr="001B1CD0">
        <w:rPr>
          <w:rFonts w:ascii="Times New Roman" w:hAnsi="Times New Roman" w:cs="Times New Roman"/>
          <w:sz w:val="40"/>
          <w:szCs w:val="40"/>
        </w:rPr>
        <w:t xml:space="preserve"> Region 5</w:t>
      </w:r>
    </w:p>
    <w:p w14:paraId="0D285D55" w14:textId="77777777" w:rsidR="000E7117" w:rsidRPr="001B1CD0" w:rsidRDefault="000E7117" w:rsidP="00983391">
      <w:pPr>
        <w:pStyle w:val="Subtitle"/>
        <w:rPr>
          <w:rFonts w:ascii="Times New Roman" w:hAnsi="Times New Roman" w:cs="Times New Roman"/>
          <w:sz w:val="32"/>
          <w:szCs w:val="32"/>
        </w:rPr>
      </w:pPr>
    </w:p>
    <w:p w14:paraId="3CC57B94" w14:textId="77777777" w:rsidR="000E7117" w:rsidRPr="001B1CD0" w:rsidRDefault="000E7117" w:rsidP="00983391">
      <w:pPr>
        <w:pStyle w:val="Subtitle"/>
        <w:rPr>
          <w:rFonts w:ascii="Times New Roman" w:hAnsi="Times New Roman" w:cs="Times New Roman"/>
          <w:sz w:val="32"/>
          <w:szCs w:val="32"/>
        </w:rPr>
      </w:pPr>
    </w:p>
    <w:p w14:paraId="70B03665" w14:textId="77777777" w:rsidR="000E7117" w:rsidRDefault="000E7117" w:rsidP="00983391">
      <w:pPr>
        <w:pStyle w:val="Subtitle"/>
      </w:pPr>
    </w:p>
    <w:p w14:paraId="79AC90FA" w14:textId="33525C0A" w:rsidR="000E7117" w:rsidRPr="001B1CD0" w:rsidRDefault="000E7117" w:rsidP="00983391">
      <w:pPr>
        <w:pStyle w:val="Subtitle"/>
        <w:rPr>
          <w:rFonts w:ascii="Times New Roman" w:hAnsi="Times New Roman" w:cs="Times New Roman"/>
        </w:rPr>
      </w:pPr>
      <w:r>
        <w:rPr>
          <w:noProof/>
        </w:rPr>
        <w:drawing>
          <wp:anchor distT="0" distB="0" distL="114300" distR="114300" simplePos="0" relativeHeight="251658240" behindDoc="0" locked="0" layoutInCell="1" allowOverlap="1" wp14:anchorId="79A1CDB6" wp14:editId="329D112E">
            <wp:simplePos x="914400" y="2743200"/>
            <wp:positionH relativeFrom="margin">
              <wp:align>center</wp:align>
            </wp:positionH>
            <wp:positionV relativeFrom="margin">
              <wp:align>center</wp:align>
            </wp:positionV>
            <wp:extent cx="5943600" cy="1874520"/>
            <wp:effectExtent l="0" t="0" r="0" b="0"/>
            <wp:wrapSquare wrapText="bothSides"/>
            <wp:docPr id="1" name="Picture 1" descr="ECC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CCOG LOGO"/>
                    <pic:cNvPicPr/>
                  </pic:nvPicPr>
                  <pic:blipFill>
                    <a:blip r:embed="rId8">
                      <a:extLst>
                        <a:ext uri="{28A0092B-C50C-407E-A947-70E740481C1C}">
                          <a14:useLocalDpi xmlns:a14="http://schemas.microsoft.com/office/drawing/2010/main" val="0"/>
                        </a:ext>
                      </a:extLst>
                    </a:blip>
                    <a:stretch>
                      <a:fillRect/>
                    </a:stretch>
                  </pic:blipFill>
                  <pic:spPr>
                    <a:xfrm>
                      <a:off x="0" y="0"/>
                      <a:ext cx="5943600" cy="1874520"/>
                    </a:xfrm>
                    <a:prstGeom prst="rect">
                      <a:avLst/>
                    </a:prstGeom>
                  </pic:spPr>
                </pic:pic>
              </a:graphicData>
            </a:graphic>
          </wp:anchor>
        </w:drawing>
      </w:r>
    </w:p>
    <w:p w14:paraId="1E91DFEE" w14:textId="77777777" w:rsidR="000E7117" w:rsidRPr="001B1CD0" w:rsidRDefault="000E7117" w:rsidP="008A36C7">
      <w:pPr>
        <w:pStyle w:val="Subtitle"/>
        <w:jc w:val="left"/>
        <w:rPr>
          <w:rFonts w:ascii="Times New Roman" w:hAnsi="Times New Roman" w:cs="Times New Roman"/>
        </w:rPr>
      </w:pPr>
    </w:p>
    <w:p w14:paraId="3E035A1E" w14:textId="77777777" w:rsidR="000E7117" w:rsidRPr="001B1CD0" w:rsidRDefault="000E7117" w:rsidP="00983391">
      <w:pPr>
        <w:pStyle w:val="Subtitle"/>
        <w:rPr>
          <w:rFonts w:ascii="Times New Roman" w:hAnsi="Times New Roman" w:cs="Times New Roman"/>
        </w:rPr>
      </w:pPr>
    </w:p>
    <w:p w14:paraId="521E5767" w14:textId="77777777" w:rsidR="000E7117" w:rsidRPr="001B1CD0" w:rsidRDefault="000E7117" w:rsidP="00983391">
      <w:pPr>
        <w:pStyle w:val="Subtitle"/>
        <w:rPr>
          <w:rFonts w:ascii="Times New Roman" w:hAnsi="Times New Roman" w:cs="Times New Roman"/>
          <w:sz w:val="32"/>
          <w:szCs w:val="32"/>
        </w:rPr>
      </w:pPr>
    </w:p>
    <w:p w14:paraId="4B361474" w14:textId="5EC00BC0" w:rsidR="00EE09B9" w:rsidRPr="001B1CD0" w:rsidRDefault="00983391" w:rsidP="00983391">
      <w:pPr>
        <w:pStyle w:val="Subtitle"/>
        <w:rPr>
          <w:rFonts w:ascii="Times New Roman" w:hAnsi="Times New Roman" w:cs="Times New Roman"/>
          <w:sz w:val="36"/>
          <w:szCs w:val="36"/>
        </w:rPr>
      </w:pPr>
      <w:r w:rsidRPr="001B1CD0">
        <w:rPr>
          <w:rFonts w:ascii="Times New Roman" w:hAnsi="Times New Roman" w:cs="Times New Roman"/>
          <w:sz w:val="36"/>
          <w:szCs w:val="36"/>
        </w:rPr>
        <w:t>STATE FISCAL YEARS 202</w:t>
      </w:r>
      <w:r w:rsidR="00AE7B84" w:rsidRPr="001B1CD0">
        <w:rPr>
          <w:rFonts w:ascii="Times New Roman" w:hAnsi="Times New Roman" w:cs="Times New Roman"/>
          <w:sz w:val="36"/>
          <w:szCs w:val="36"/>
        </w:rPr>
        <w:t>4</w:t>
      </w:r>
      <w:r w:rsidRPr="001B1CD0">
        <w:rPr>
          <w:rFonts w:ascii="Times New Roman" w:hAnsi="Times New Roman" w:cs="Times New Roman"/>
          <w:sz w:val="36"/>
          <w:szCs w:val="36"/>
        </w:rPr>
        <w:t>-2027</w:t>
      </w:r>
    </w:p>
    <w:p w14:paraId="1AB78851" w14:textId="16CA1B45" w:rsidR="00983391" w:rsidRPr="001B1CD0" w:rsidRDefault="00983391" w:rsidP="00983391">
      <w:pPr>
        <w:pStyle w:val="Subtitle"/>
        <w:rPr>
          <w:rFonts w:ascii="Times New Roman" w:hAnsi="Times New Roman" w:cs="Times New Roman"/>
          <w:sz w:val="36"/>
          <w:szCs w:val="36"/>
        </w:rPr>
      </w:pPr>
      <w:r w:rsidRPr="001B1CD0">
        <w:rPr>
          <w:rFonts w:ascii="Times New Roman" w:hAnsi="Times New Roman" w:cs="Times New Roman"/>
          <w:sz w:val="36"/>
          <w:szCs w:val="36"/>
        </w:rPr>
        <w:t>(J</w:t>
      </w:r>
      <w:r w:rsidR="000E7117" w:rsidRPr="001B1CD0">
        <w:rPr>
          <w:rFonts w:ascii="Times New Roman" w:hAnsi="Times New Roman" w:cs="Times New Roman"/>
          <w:sz w:val="36"/>
          <w:szCs w:val="36"/>
        </w:rPr>
        <w:t>uly 1, 202</w:t>
      </w:r>
      <w:r w:rsidR="00E244A5" w:rsidRPr="001B1CD0">
        <w:rPr>
          <w:rFonts w:ascii="Times New Roman" w:hAnsi="Times New Roman" w:cs="Times New Roman"/>
          <w:sz w:val="36"/>
          <w:szCs w:val="36"/>
        </w:rPr>
        <w:t>3</w:t>
      </w:r>
      <w:r w:rsidR="000E7117" w:rsidRPr="001B1CD0">
        <w:rPr>
          <w:rFonts w:ascii="Times New Roman" w:hAnsi="Times New Roman" w:cs="Times New Roman"/>
          <w:sz w:val="36"/>
          <w:szCs w:val="36"/>
        </w:rPr>
        <w:t xml:space="preserve"> – June 30, 2027)</w:t>
      </w:r>
    </w:p>
    <w:p w14:paraId="39CEADF6" w14:textId="77777777" w:rsidR="00D007CB" w:rsidRPr="001B1CD0" w:rsidRDefault="00D007CB" w:rsidP="00D007CB">
      <w:pPr>
        <w:rPr>
          <w:rFonts w:ascii="Times New Roman" w:hAnsi="Times New Roman" w:cs="Times New Roman"/>
        </w:rPr>
      </w:pPr>
    </w:p>
    <w:p w14:paraId="701A09A5" w14:textId="3B3CEC8C" w:rsidR="00D007CB" w:rsidRPr="001B1CD0" w:rsidRDefault="00D007CB">
      <w:pPr>
        <w:rPr>
          <w:rFonts w:ascii="Times New Roman" w:hAnsi="Times New Roman" w:cs="Times New Roman"/>
        </w:rPr>
      </w:pPr>
      <w:r w:rsidRPr="001B1CD0">
        <w:rPr>
          <w:rFonts w:ascii="Times New Roman" w:hAnsi="Times New Roman" w:cs="Times New Roman"/>
        </w:rPr>
        <w:br w:type="page"/>
      </w:r>
    </w:p>
    <w:p w14:paraId="2B4B92F3" w14:textId="7F52503A" w:rsidR="00D007CB" w:rsidRPr="001B1CD0" w:rsidRDefault="00D007CB" w:rsidP="00336026">
      <w:pPr>
        <w:pStyle w:val="Heading1"/>
        <w:rPr>
          <w:rFonts w:ascii="Times New Roman" w:hAnsi="Times New Roman" w:cs="Times New Roman"/>
        </w:rPr>
      </w:pPr>
      <w:bookmarkStart w:id="0" w:name="_Toc130291142"/>
      <w:r w:rsidRPr="001B1CD0">
        <w:rPr>
          <w:rFonts w:ascii="Times New Roman" w:hAnsi="Times New Roman" w:cs="Times New Roman"/>
        </w:rPr>
        <w:lastRenderedPageBreak/>
        <w:t>Introduction</w:t>
      </w:r>
      <w:bookmarkEnd w:id="0"/>
    </w:p>
    <w:p w14:paraId="40B58823" w14:textId="606E0E22" w:rsidR="006B69A8" w:rsidRPr="00232D1D" w:rsidRDefault="004D4AEB" w:rsidP="002831D2">
      <w:pPr>
        <w:jc w:val="both"/>
        <w:rPr>
          <w:rFonts w:ascii="Times New Roman" w:hAnsi="Times New Roman" w:cs="Times New Roman"/>
          <w:sz w:val="24"/>
          <w:szCs w:val="24"/>
        </w:rPr>
      </w:pPr>
      <w:r>
        <w:rPr>
          <w:rFonts w:ascii="Times New Roman" w:hAnsi="Times New Roman" w:cs="Times New Roman"/>
          <w:sz w:val="24"/>
          <w:szCs w:val="24"/>
        </w:rPr>
        <w:t xml:space="preserve">The </w:t>
      </w:r>
      <w:r w:rsidR="003C1B4D" w:rsidRPr="00232D1D">
        <w:rPr>
          <w:rFonts w:ascii="Times New Roman" w:hAnsi="Times New Roman" w:cs="Times New Roman"/>
          <w:sz w:val="24"/>
          <w:szCs w:val="24"/>
        </w:rPr>
        <w:t>Area Agencies on Aging (AAA) were formally established in the 1973 Older Americans Act (OAA)</w:t>
      </w:r>
      <w:r w:rsidR="00012B41" w:rsidRPr="00232D1D">
        <w:rPr>
          <w:rFonts w:ascii="Times New Roman" w:hAnsi="Times New Roman" w:cs="Times New Roman"/>
          <w:sz w:val="24"/>
          <w:szCs w:val="24"/>
        </w:rPr>
        <w:t xml:space="preserve"> comprehensive services amendments. The Agency of Community Living (ACL) oversees the Older Americans Act funds</w:t>
      </w:r>
      <w:r w:rsidR="00162581">
        <w:rPr>
          <w:rFonts w:ascii="Times New Roman" w:hAnsi="Times New Roman" w:cs="Times New Roman"/>
          <w:sz w:val="24"/>
          <w:szCs w:val="24"/>
        </w:rPr>
        <w:t>.</w:t>
      </w:r>
      <w:r w:rsidR="00012B41" w:rsidRPr="00232D1D">
        <w:rPr>
          <w:rFonts w:ascii="Times New Roman" w:hAnsi="Times New Roman" w:cs="Times New Roman"/>
          <w:sz w:val="24"/>
          <w:szCs w:val="24"/>
        </w:rPr>
        <w:t xml:space="preserve"> </w:t>
      </w:r>
      <w:r w:rsidR="00162581">
        <w:rPr>
          <w:rFonts w:ascii="Times New Roman" w:hAnsi="Times New Roman" w:cs="Times New Roman"/>
          <w:sz w:val="24"/>
          <w:szCs w:val="24"/>
        </w:rPr>
        <w:t>R</w:t>
      </w:r>
      <w:r w:rsidR="00012B41" w:rsidRPr="00232D1D">
        <w:rPr>
          <w:rFonts w:ascii="Times New Roman" w:hAnsi="Times New Roman" w:cs="Times New Roman"/>
          <w:sz w:val="24"/>
          <w:szCs w:val="24"/>
        </w:rPr>
        <w:t xml:space="preserve">equiring that each individual AAA submit a </w:t>
      </w:r>
      <w:r w:rsidR="00162581">
        <w:rPr>
          <w:rFonts w:ascii="Times New Roman" w:hAnsi="Times New Roman" w:cs="Times New Roman"/>
          <w:sz w:val="24"/>
          <w:szCs w:val="24"/>
        </w:rPr>
        <w:t xml:space="preserve">4 Year </w:t>
      </w:r>
      <w:r w:rsidR="00012B41" w:rsidRPr="00232D1D">
        <w:rPr>
          <w:rFonts w:ascii="Times New Roman" w:hAnsi="Times New Roman" w:cs="Times New Roman"/>
          <w:sz w:val="24"/>
          <w:szCs w:val="24"/>
        </w:rPr>
        <w:t xml:space="preserve">Plan </w:t>
      </w:r>
      <w:r w:rsidR="00162581">
        <w:rPr>
          <w:rFonts w:ascii="Times New Roman" w:hAnsi="Times New Roman" w:cs="Times New Roman"/>
          <w:sz w:val="24"/>
          <w:szCs w:val="24"/>
        </w:rPr>
        <w:t>outlining</w:t>
      </w:r>
      <w:r w:rsidR="00012B41" w:rsidRPr="00232D1D">
        <w:rPr>
          <w:rFonts w:ascii="Times New Roman" w:hAnsi="Times New Roman" w:cs="Times New Roman"/>
          <w:sz w:val="24"/>
          <w:szCs w:val="24"/>
        </w:rPr>
        <w:t xml:space="preserve"> how they will use their OAA funds to achieve the initiatives set forth</w:t>
      </w:r>
      <w:r w:rsidR="00F842DB">
        <w:rPr>
          <w:rFonts w:ascii="Times New Roman" w:hAnsi="Times New Roman" w:cs="Times New Roman"/>
          <w:sz w:val="24"/>
          <w:szCs w:val="24"/>
        </w:rPr>
        <w:t>,</w:t>
      </w:r>
      <w:r w:rsidR="00012B41" w:rsidRPr="00232D1D">
        <w:rPr>
          <w:rFonts w:ascii="Times New Roman" w:hAnsi="Times New Roman" w:cs="Times New Roman"/>
          <w:sz w:val="24"/>
          <w:szCs w:val="24"/>
        </w:rPr>
        <w:t xml:space="preserve"> by the </w:t>
      </w:r>
      <w:r w:rsidR="006D1474" w:rsidRPr="00232D1D">
        <w:rPr>
          <w:rFonts w:ascii="Times New Roman" w:hAnsi="Times New Roman" w:cs="Times New Roman"/>
          <w:sz w:val="24"/>
          <w:szCs w:val="24"/>
        </w:rPr>
        <w:t>Agency of Community Living to the</w:t>
      </w:r>
      <w:r w:rsidR="00D154C2">
        <w:rPr>
          <w:rFonts w:ascii="Times New Roman" w:hAnsi="Times New Roman" w:cs="Times New Roman"/>
          <w:sz w:val="24"/>
          <w:szCs w:val="24"/>
        </w:rPr>
        <w:t>ir</w:t>
      </w:r>
      <w:r w:rsidR="006D1474" w:rsidRPr="00232D1D">
        <w:rPr>
          <w:rFonts w:ascii="Times New Roman" w:hAnsi="Times New Roman" w:cs="Times New Roman"/>
          <w:sz w:val="24"/>
          <w:szCs w:val="24"/>
        </w:rPr>
        <w:t xml:space="preserve"> respective State Unit on Aging.</w:t>
      </w:r>
    </w:p>
    <w:p w14:paraId="3E58F65F" w14:textId="409E7C21" w:rsidR="006D1474" w:rsidRPr="00232D1D" w:rsidRDefault="006D1474" w:rsidP="002831D2">
      <w:pPr>
        <w:jc w:val="both"/>
        <w:rPr>
          <w:rFonts w:ascii="Times New Roman" w:hAnsi="Times New Roman" w:cs="Times New Roman"/>
          <w:sz w:val="24"/>
          <w:szCs w:val="24"/>
        </w:rPr>
      </w:pPr>
      <w:r w:rsidRPr="00232D1D">
        <w:rPr>
          <w:rFonts w:ascii="Times New Roman" w:hAnsi="Times New Roman" w:cs="Times New Roman"/>
          <w:sz w:val="24"/>
          <w:szCs w:val="24"/>
        </w:rPr>
        <w:t xml:space="preserve">Under the Older Americans Act, </w:t>
      </w:r>
      <w:r w:rsidR="00D03CE0" w:rsidRPr="00232D1D">
        <w:rPr>
          <w:rFonts w:ascii="Times New Roman" w:hAnsi="Times New Roman" w:cs="Times New Roman"/>
          <w:sz w:val="24"/>
          <w:szCs w:val="24"/>
        </w:rPr>
        <w:t>as amended through Public Law 110-246 effective May 22, 2008), each Colorado AAA is required to develop an Area Plan for their Planning and Service</w:t>
      </w:r>
      <w:r w:rsidR="00B50740" w:rsidRPr="00232D1D">
        <w:rPr>
          <w:rFonts w:ascii="Times New Roman" w:hAnsi="Times New Roman" w:cs="Times New Roman"/>
          <w:sz w:val="24"/>
          <w:szCs w:val="24"/>
        </w:rPr>
        <w:t xml:space="preserve"> Area at a frequency determined by the State Unit on Aging, prepared in accordance with OAA Section 307(a)(1).</w:t>
      </w:r>
    </w:p>
    <w:p w14:paraId="2DBA290E" w14:textId="65FBA65D" w:rsidR="00F730AD" w:rsidRPr="00232D1D" w:rsidRDefault="00F730AD" w:rsidP="002831D2">
      <w:pPr>
        <w:jc w:val="both"/>
        <w:rPr>
          <w:rFonts w:ascii="Times New Roman" w:hAnsi="Times New Roman" w:cs="Times New Roman"/>
          <w:sz w:val="24"/>
          <w:szCs w:val="24"/>
        </w:rPr>
      </w:pPr>
      <w:r w:rsidRPr="00232D1D">
        <w:rPr>
          <w:rFonts w:ascii="Times New Roman" w:hAnsi="Times New Roman" w:cs="Times New Roman"/>
          <w:sz w:val="24"/>
          <w:szCs w:val="24"/>
        </w:rPr>
        <w:t xml:space="preserve">The Colorado State Unit on Aging Policy Directive </w:t>
      </w:r>
      <w:r w:rsidR="006A73E0" w:rsidRPr="00232D1D">
        <w:rPr>
          <w:rFonts w:ascii="Times New Roman" w:hAnsi="Times New Roman" w:cs="Times New Roman"/>
          <w:sz w:val="24"/>
          <w:szCs w:val="24"/>
        </w:rPr>
        <w:t>22-05</w:t>
      </w:r>
      <w:r w:rsidRPr="00232D1D">
        <w:rPr>
          <w:rFonts w:ascii="Times New Roman" w:hAnsi="Times New Roman" w:cs="Times New Roman"/>
          <w:sz w:val="24"/>
          <w:szCs w:val="24"/>
        </w:rPr>
        <w:t xml:space="preserve"> is the Planning Assistance document</w:t>
      </w:r>
      <w:r w:rsidR="008C3BF4" w:rsidRPr="00232D1D">
        <w:rPr>
          <w:rFonts w:ascii="Times New Roman" w:hAnsi="Times New Roman" w:cs="Times New Roman"/>
          <w:sz w:val="24"/>
          <w:szCs w:val="24"/>
        </w:rPr>
        <w:t xml:space="preserve"> provided to each of sixteen Colorado AAAs </w:t>
      </w:r>
      <w:r w:rsidR="007816D2" w:rsidRPr="00232D1D">
        <w:rPr>
          <w:rFonts w:ascii="Times New Roman" w:hAnsi="Times New Roman" w:cs="Times New Roman"/>
          <w:sz w:val="24"/>
          <w:szCs w:val="24"/>
        </w:rPr>
        <w:t>respective to their Area Plans.</w:t>
      </w:r>
    </w:p>
    <w:p w14:paraId="52F47C99" w14:textId="6A788CB1" w:rsidR="007816D2" w:rsidRPr="00232D1D" w:rsidRDefault="007816D2" w:rsidP="00232D1D">
      <w:pPr>
        <w:jc w:val="both"/>
        <w:rPr>
          <w:rFonts w:ascii="Times New Roman" w:hAnsi="Times New Roman" w:cs="Times New Roman"/>
          <w:sz w:val="24"/>
          <w:szCs w:val="24"/>
        </w:rPr>
      </w:pPr>
      <w:r w:rsidRPr="00232D1D">
        <w:rPr>
          <w:rFonts w:ascii="Times New Roman" w:hAnsi="Times New Roman" w:cs="Times New Roman"/>
          <w:sz w:val="24"/>
          <w:szCs w:val="24"/>
          <w:u w:val="single"/>
        </w:rPr>
        <w:t>State Unit on Aging Policy Directive</w:t>
      </w:r>
      <w:r w:rsidR="00C918BD" w:rsidRPr="00232D1D">
        <w:rPr>
          <w:rFonts w:ascii="Times New Roman" w:hAnsi="Times New Roman" w:cs="Times New Roman"/>
          <w:sz w:val="24"/>
          <w:szCs w:val="24"/>
          <w:u w:val="single"/>
        </w:rPr>
        <w:t xml:space="preserve"> 22-05 </w:t>
      </w:r>
      <w:r w:rsidRPr="00232D1D">
        <w:rPr>
          <w:rFonts w:ascii="Times New Roman" w:hAnsi="Times New Roman" w:cs="Times New Roman"/>
          <w:sz w:val="24"/>
          <w:szCs w:val="24"/>
          <w:u w:val="single"/>
        </w:rPr>
        <w:t>Purpose</w:t>
      </w:r>
    </w:p>
    <w:p w14:paraId="45266F14" w14:textId="7F4355F7" w:rsidR="007816D2" w:rsidRPr="00232D1D" w:rsidRDefault="00A64D98" w:rsidP="002831D2">
      <w:pPr>
        <w:jc w:val="both"/>
        <w:rPr>
          <w:rFonts w:ascii="Times New Roman" w:hAnsi="Times New Roman" w:cs="Times New Roman"/>
          <w:sz w:val="24"/>
          <w:szCs w:val="24"/>
        </w:rPr>
      </w:pPr>
      <w:r w:rsidRPr="00232D1D">
        <w:rPr>
          <w:rFonts w:ascii="Times New Roman" w:hAnsi="Times New Roman" w:cs="Times New Roman"/>
          <w:sz w:val="24"/>
          <w:szCs w:val="24"/>
        </w:rPr>
        <w:t>To provide AAA’s planning assistance and necessary forms. The overall purpo</w:t>
      </w:r>
      <w:r w:rsidR="00BB6D22" w:rsidRPr="00232D1D">
        <w:rPr>
          <w:rFonts w:ascii="Times New Roman" w:hAnsi="Times New Roman" w:cs="Times New Roman"/>
          <w:sz w:val="24"/>
          <w:szCs w:val="24"/>
        </w:rPr>
        <w:t>s</w:t>
      </w:r>
      <w:r w:rsidRPr="00232D1D">
        <w:rPr>
          <w:rFonts w:ascii="Times New Roman" w:hAnsi="Times New Roman" w:cs="Times New Roman"/>
          <w:sz w:val="24"/>
          <w:szCs w:val="24"/>
        </w:rPr>
        <w:t>e of the</w:t>
      </w:r>
      <w:r w:rsidR="00BB6D22" w:rsidRPr="00232D1D">
        <w:rPr>
          <w:rFonts w:ascii="Times New Roman" w:hAnsi="Times New Roman" w:cs="Times New Roman"/>
          <w:sz w:val="24"/>
          <w:szCs w:val="24"/>
        </w:rPr>
        <w:t xml:space="preserve"> </w:t>
      </w:r>
      <w:r w:rsidRPr="00232D1D">
        <w:rPr>
          <w:rFonts w:ascii="Times New Roman" w:hAnsi="Times New Roman" w:cs="Times New Roman"/>
          <w:sz w:val="24"/>
          <w:szCs w:val="24"/>
        </w:rPr>
        <w:t xml:space="preserve">Area Plan </w:t>
      </w:r>
      <w:r w:rsidR="00BB6D22" w:rsidRPr="00232D1D">
        <w:rPr>
          <w:rFonts w:ascii="Times New Roman" w:hAnsi="Times New Roman" w:cs="Times New Roman"/>
          <w:sz w:val="24"/>
          <w:szCs w:val="24"/>
        </w:rPr>
        <w:t xml:space="preserve">is </w:t>
      </w:r>
      <w:r w:rsidRPr="00232D1D">
        <w:rPr>
          <w:rFonts w:ascii="Times New Roman" w:hAnsi="Times New Roman" w:cs="Times New Roman"/>
          <w:sz w:val="24"/>
          <w:szCs w:val="24"/>
        </w:rPr>
        <w:t xml:space="preserve">for each AAA to realize its full potential by articulating the prioritization, </w:t>
      </w:r>
      <w:proofErr w:type="gramStart"/>
      <w:r w:rsidRPr="00232D1D">
        <w:rPr>
          <w:rFonts w:ascii="Times New Roman" w:hAnsi="Times New Roman" w:cs="Times New Roman"/>
          <w:sz w:val="24"/>
          <w:szCs w:val="24"/>
        </w:rPr>
        <w:t>range</w:t>
      </w:r>
      <w:proofErr w:type="gramEnd"/>
      <w:r w:rsidRPr="00232D1D">
        <w:rPr>
          <w:rFonts w:ascii="Times New Roman" w:hAnsi="Times New Roman" w:cs="Times New Roman"/>
          <w:sz w:val="24"/>
          <w:szCs w:val="24"/>
        </w:rPr>
        <w:t xml:space="preserve"> and delivery</w:t>
      </w:r>
      <w:r w:rsidR="00226590" w:rsidRPr="00232D1D">
        <w:rPr>
          <w:rFonts w:ascii="Times New Roman" w:hAnsi="Times New Roman" w:cs="Times New Roman"/>
          <w:sz w:val="24"/>
          <w:szCs w:val="24"/>
        </w:rPr>
        <w:t xml:space="preserve"> of services to older adults, their caregivers and other eligible consumers during the period between State Fiscal Years 2023 and 2027</w:t>
      </w:r>
      <w:r w:rsidR="00BB6D22" w:rsidRPr="00232D1D">
        <w:rPr>
          <w:rFonts w:ascii="Times New Roman" w:hAnsi="Times New Roman" w:cs="Times New Roman"/>
          <w:sz w:val="24"/>
          <w:szCs w:val="24"/>
        </w:rPr>
        <w:t xml:space="preserve">. </w:t>
      </w:r>
    </w:p>
    <w:p w14:paraId="435C6759" w14:textId="4AF59D45" w:rsidR="009C4FEA" w:rsidRDefault="009C4FEA">
      <w:r>
        <w:br w:type="page"/>
      </w:r>
    </w:p>
    <w:sdt>
      <w:sdtPr>
        <w:rPr>
          <w:rFonts w:asciiTheme="minorHAnsi" w:eastAsiaTheme="minorEastAsia" w:hAnsiTheme="minorHAnsi" w:cstheme="minorBidi"/>
          <w:color w:val="auto"/>
          <w:sz w:val="21"/>
          <w:szCs w:val="21"/>
        </w:rPr>
        <w:id w:val="161438543"/>
        <w:docPartObj>
          <w:docPartGallery w:val="Table of Contents"/>
          <w:docPartUnique/>
        </w:docPartObj>
      </w:sdtPr>
      <w:sdtEndPr>
        <w:rPr>
          <w:b/>
          <w:bCs/>
          <w:noProof/>
        </w:rPr>
      </w:sdtEndPr>
      <w:sdtContent>
        <w:p w14:paraId="4C800150" w14:textId="1EDC4F01" w:rsidR="00C957BC" w:rsidRPr="001B1CD0" w:rsidRDefault="00C957BC">
          <w:pPr>
            <w:pStyle w:val="TOCHeading"/>
            <w:rPr>
              <w:rFonts w:ascii="Times New Roman" w:hAnsi="Times New Roman" w:cs="Times New Roman"/>
            </w:rPr>
          </w:pPr>
          <w:r w:rsidRPr="001B1CD0">
            <w:rPr>
              <w:rFonts w:ascii="Times New Roman" w:hAnsi="Times New Roman" w:cs="Times New Roman"/>
            </w:rPr>
            <w:t>Table of Contents</w:t>
          </w:r>
        </w:p>
        <w:p w14:paraId="1BD6BBC5" w14:textId="5E6F271E" w:rsidR="005A3C18" w:rsidRDefault="00C957BC">
          <w:pPr>
            <w:pStyle w:val="TOC1"/>
            <w:tabs>
              <w:tab w:val="right" w:leader="dot" w:pos="9350"/>
            </w:tabs>
            <w:rPr>
              <w:noProof/>
              <w:sz w:val="22"/>
              <w:szCs w:val="22"/>
            </w:rPr>
          </w:pPr>
          <w:r w:rsidRPr="001B1CD0">
            <w:rPr>
              <w:rFonts w:ascii="Times New Roman" w:hAnsi="Times New Roman" w:cs="Times New Roman"/>
            </w:rPr>
            <w:fldChar w:fldCharType="begin"/>
          </w:r>
          <w:r>
            <w:instrText xml:space="preserve"> TOC \o "1-3" \h \z \u </w:instrText>
          </w:r>
          <w:r w:rsidRPr="001B1CD0">
            <w:rPr>
              <w:rFonts w:ascii="Times New Roman" w:hAnsi="Times New Roman" w:cs="Times New Roman"/>
            </w:rPr>
            <w:fldChar w:fldCharType="separate"/>
          </w:r>
          <w:hyperlink w:anchor="_Toc130291142" w:history="1">
            <w:r w:rsidR="005A3C18" w:rsidRPr="00D15D5F">
              <w:rPr>
                <w:rStyle w:val="Hyperlink"/>
                <w:rFonts w:ascii="Times New Roman" w:hAnsi="Times New Roman" w:cs="Times New Roman"/>
                <w:noProof/>
              </w:rPr>
              <w:t>Introduction</w:t>
            </w:r>
            <w:r w:rsidR="005A3C18">
              <w:rPr>
                <w:noProof/>
                <w:webHidden/>
              </w:rPr>
              <w:tab/>
            </w:r>
            <w:r w:rsidR="005A3C18">
              <w:rPr>
                <w:noProof/>
                <w:webHidden/>
              </w:rPr>
              <w:fldChar w:fldCharType="begin"/>
            </w:r>
            <w:r w:rsidR="005A3C18">
              <w:rPr>
                <w:noProof/>
                <w:webHidden/>
              </w:rPr>
              <w:instrText xml:space="preserve"> PAGEREF _Toc130291142 \h </w:instrText>
            </w:r>
            <w:r w:rsidR="005A3C18">
              <w:rPr>
                <w:noProof/>
                <w:webHidden/>
              </w:rPr>
            </w:r>
            <w:r w:rsidR="005A3C18">
              <w:rPr>
                <w:noProof/>
                <w:webHidden/>
              </w:rPr>
              <w:fldChar w:fldCharType="separate"/>
            </w:r>
            <w:r w:rsidR="00DC5C93">
              <w:rPr>
                <w:noProof/>
                <w:webHidden/>
              </w:rPr>
              <w:t>2</w:t>
            </w:r>
            <w:r w:rsidR="005A3C18">
              <w:rPr>
                <w:noProof/>
                <w:webHidden/>
              </w:rPr>
              <w:fldChar w:fldCharType="end"/>
            </w:r>
          </w:hyperlink>
        </w:p>
        <w:p w14:paraId="17EE486A" w14:textId="10ED0821" w:rsidR="005A3C18" w:rsidRDefault="005A7D2B">
          <w:pPr>
            <w:pStyle w:val="TOC2"/>
            <w:tabs>
              <w:tab w:val="right" w:leader="dot" w:pos="9350"/>
            </w:tabs>
            <w:rPr>
              <w:noProof/>
              <w:sz w:val="22"/>
              <w:szCs w:val="22"/>
            </w:rPr>
          </w:pPr>
          <w:hyperlink w:anchor="_Toc130291143" w:history="1">
            <w:r w:rsidR="005A3C18" w:rsidRPr="00D15D5F">
              <w:rPr>
                <w:rStyle w:val="Hyperlink"/>
                <w:rFonts w:ascii="Times New Roman" w:hAnsi="Times New Roman" w:cs="Times New Roman"/>
                <w:noProof/>
              </w:rPr>
              <w:t>MISSION STATEMENT:</w:t>
            </w:r>
            <w:r w:rsidR="005A3C18">
              <w:rPr>
                <w:noProof/>
                <w:webHidden/>
              </w:rPr>
              <w:tab/>
            </w:r>
            <w:r w:rsidR="005A3C18">
              <w:rPr>
                <w:noProof/>
                <w:webHidden/>
              </w:rPr>
              <w:fldChar w:fldCharType="begin"/>
            </w:r>
            <w:r w:rsidR="005A3C18">
              <w:rPr>
                <w:noProof/>
                <w:webHidden/>
              </w:rPr>
              <w:instrText xml:space="preserve"> PAGEREF _Toc130291143 \h </w:instrText>
            </w:r>
            <w:r w:rsidR="005A3C18">
              <w:rPr>
                <w:noProof/>
                <w:webHidden/>
              </w:rPr>
            </w:r>
            <w:r w:rsidR="005A3C18">
              <w:rPr>
                <w:noProof/>
                <w:webHidden/>
              </w:rPr>
              <w:fldChar w:fldCharType="separate"/>
            </w:r>
            <w:r w:rsidR="00DC5C93">
              <w:rPr>
                <w:noProof/>
                <w:webHidden/>
              </w:rPr>
              <w:t>5</w:t>
            </w:r>
            <w:r w:rsidR="005A3C18">
              <w:rPr>
                <w:noProof/>
                <w:webHidden/>
              </w:rPr>
              <w:fldChar w:fldCharType="end"/>
            </w:r>
          </w:hyperlink>
        </w:p>
        <w:p w14:paraId="2B5CC7CD" w14:textId="4F2E69BB" w:rsidR="005A3C18" w:rsidRDefault="005A7D2B">
          <w:pPr>
            <w:pStyle w:val="TOC1"/>
            <w:tabs>
              <w:tab w:val="right" w:leader="dot" w:pos="9350"/>
            </w:tabs>
            <w:rPr>
              <w:noProof/>
              <w:sz w:val="22"/>
              <w:szCs w:val="22"/>
            </w:rPr>
          </w:pPr>
          <w:hyperlink w:anchor="_Toc130291144" w:history="1">
            <w:r w:rsidR="005A3C18" w:rsidRPr="00D15D5F">
              <w:rPr>
                <w:rStyle w:val="Hyperlink"/>
                <w:rFonts w:ascii="Times New Roman" w:hAnsi="Times New Roman" w:cs="Times New Roman"/>
                <w:noProof/>
              </w:rPr>
              <w:t>Section I: Executive Summary</w:t>
            </w:r>
            <w:r w:rsidR="005A3C18">
              <w:rPr>
                <w:noProof/>
                <w:webHidden/>
              </w:rPr>
              <w:tab/>
            </w:r>
            <w:r w:rsidR="005A3C18">
              <w:rPr>
                <w:noProof/>
                <w:webHidden/>
              </w:rPr>
              <w:fldChar w:fldCharType="begin"/>
            </w:r>
            <w:r w:rsidR="005A3C18">
              <w:rPr>
                <w:noProof/>
                <w:webHidden/>
              </w:rPr>
              <w:instrText xml:space="preserve"> PAGEREF _Toc130291144 \h </w:instrText>
            </w:r>
            <w:r w:rsidR="005A3C18">
              <w:rPr>
                <w:noProof/>
                <w:webHidden/>
              </w:rPr>
            </w:r>
            <w:r w:rsidR="005A3C18">
              <w:rPr>
                <w:noProof/>
                <w:webHidden/>
              </w:rPr>
              <w:fldChar w:fldCharType="separate"/>
            </w:r>
            <w:r w:rsidR="00DC5C93">
              <w:rPr>
                <w:noProof/>
                <w:webHidden/>
              </w:rPr>
              <w:t>6</w:t>
            </w:r>
            <w:r w:rsidR="005A3C18">
              <w:rPr>
                <w:noProof/>
                <w:webHidden/>
              </w:rPr>
              <w:fldChar w:fldCharType="end"/>
            </w:r>
          </w:hyperlink>
        </w:p>
        <w:p w14:paraId="2169CD47" w14:textId="50F8E741" w:rsidR="005A3C18" w:rsidRDefault="005A7D2B">
          <w:pPr>
            <w:pStyle w:val="TOC1"/>
            <w:tabs>
              <w:tab w:val="right" w:leader="dot" w:pos="9350"/>
            </w:tabs>
            <w:rPr>
              <w:noProof/>
              <w:sz w:val="22"/>
              <w:szCs w:val="22"/>
            </w:rPr>
          </w:pPr>
          <w:hyperlink w:anchor="_Toc130291145" w:history="1">
            <w:r w:rsidR="005A3C18" w:rsidRPr="00D15D5F">
              <w:rPr>
                <w:rStyle w:val="Hyperlink"/>
                <w:rFonts w:ascii="Times New Roman" w:hAnsi="Times New Roman" w:cs="Times New Roman"/>
                <w:bCs/>
                <w:noProof/>
              </w:rPr>
              <w:t>Section II: Public Input</w:t>
            </w:r>
            <w:r w:rsidR="005A3C18">
              <w:rPr>
                <w:noProof/>
                <w:webHidden/>
              </w:rPr>
              <w:tab/>
            </w:r>
            <w:r w:rsidR="005A3C18">
              <w:rPr>
                <w:noProof/>
                <w:webHidden/>
              </w:rPr>
              <w:fldChar w:fldCharType="begin"/>
            </w:r>
            <w:r w:rsidR="005A3C18">
              <w:rPr>
                <w:noProof/>
                <w:webHidden/>
              </w:rPr>
              <w:instrText xml:space="preserve"> PAGEREF _Toc130291145 \h </w:instrText>
            </w:r>
            <w:r w:rsidR="005A3C18">
              <w:rPr>
                <w:noProof/>
                <w:webHidden/>
              </w:rPr>
            </w:r>
            <w:r w:rsidR="005A3C18">
              <w:rPr>
                <w:noProof/>
                <w:webHidden/>
              </w:rPr>
              <w:fldChar w:fldCharType="separate"/>
            </w:r>
            <w:r w:rsidR="00DC5C93">
              <w:rPr>
                <w:noProof/>
                <w:webHidden/>
              </w:rPr>
              <w:t>8</w:t>
            </w:r>
            <w:r w:rsidR="005A3C18">
              <w:rPr>
                <w:noProof/>
                <w:webHidden/>
              </w:rPr>
              <w:fldChar w:fldCharType="end"/>
            </w:r>
          </w:hyperlink>
        </w:p>
        <w:p w14:paraId="72F4F368" w14:textId="7DFA13AF" w:rsidR="005A3C18" w:rsidRDefault="005A7D2B">
          <w:pPr>
            <w:pStyle w:val="TOC1"/>
            <w:tabs>
              <w:tab w:val="right" w:leader="dot" w:pos="9350"/>
            </w:tabs>
            <w:rPr>
              <w:noProof/>
              <w:sz w:val="22"/>
              <w:szCs w:val="22"/>
            </w:rPr>
          </w:pPr>
          <w:hyperlink w:anchor="_Toc130291146" w:history="1">
            <w:r w:rsidR="005A3C18" w:rsidRPr="00D15D5F">
              <w:rPr>
                <w:rStyle w:val="Hyperlink"/>
                <w:rFonts w:ascii="Times New Roman" w:hAnsi="Times New Roman" w:cs="Times New Roman"/>
                <w:bCs/>
                <w:noProof/>
              </w:rPr>
              <w:t>Section III: Demographics</w:t>
            </w:r>
            <w:r w:rsidR="005A3C18">
              <w:rPr>
                <w:noProof/>
                <w:webHidden/>
              </w:rPr>
              <w:tab/>
            </w:r>
            <w:r w:rsidR="005A3C18">
              <w:rPr>
                <w:noProof/>
                <w:webHidden/>
              </w:rPr>
              <w:fldChar w:fldCharType="begin"/>
            </w:r>
            <w:r w:rsidR="005A3C18">
              <w:rPr>
                <w:noProof/>
                <w:webHidden/>
              </w:rPr>
              <w:instrText xml:space="preserve"> PAGEREF _Toc130291146 \h </w:instrText>
            </w:r>
            <w:r w:rsidR="005A3C18">
              <w:rPr>
                <w:noProof/>
                <w:webHidden/>
              </w:rPr>
            </w:r>
            <w:r w:rsidR="005A3C18">
              <w:rPr>
                <w:noProof/>
                <w:webHidden/>
              </w:rPr>
              <w:fldChar w:fldCharType="separate"/>
            </w:r>
            <w:r w:rsidR="00DC5C93">
              <w:rPr>
                <w:noProof/>
                <w:webHidden/>
              </w:rPr>
              <w:t>12</w:t>
            </w:r>
            <w:r w:rsidR="005A3C18">
              <w:rPr>
                <w:noProof/>
                <w:webHidden/>
              </w:rPr>
              <w:fldChar w:fldCharType="end"/>
            </w:r>
          </w:hyperlink>
        </w:p>
        <w:p w14:paraId="3A2ADC16" w14:textId="02E9B0E7" w:rsidR="005A3C18" w:rsidRDefault="005A7D2B">
          <w:pPr>
            <w:pStyle w:val="TOC1"/>
            <w:tabs>
              <w:tab w:val="right" w:leader="dot" w:pos="9350"/>
            </w:tabs>
            <w:rPr>
              <w:noProof/>
              <w:sz w:val="22"/>
              <w:szCs w:val="22"/>
            </w:rPr>
          </w:pPr>
          <w:hyperlink w:anchor="_Toc130291147" w:history="1">
            <w:r w:rsidR="005A3C18" w:rsidRPr="00D15D5F">
              <w:rPr>
                <w:rStyle w:val="Hyperlink"/>
                <w:rFonts w:ascii="Times New Roman" w:hAnsi="Times New Roman" w:cs="Times New Roman"/>
                <w:noProof/>
              </w:rPr>
              <w:t>Section IV: Community Assessment Survey of Older Adults (CASOA)</w:t>
            </w:r>
            <w:r w:rsidR="005A3C18">
              <w:rPr>
                <w:noProof/>
                <w:webHidden/>
              </w:rPr>
              <w:tab/>
            </w:r>
            <w:r w:rsidR="005A3C18">
              <w:rPr>
                <w:noProof/>
                <w:webHidden/>
              </w:rPr>
              <w:fldChar w:fldCharType="begin"/>
            </w:r>
            <w:r w:rsidR="005A3C18">
              <w:rPr>
                <w:noProof/>
                <w:webHidden/>
              </w:rPr>
              <w:instrText xml:space="preserve"> PAGEREF _Toc130291147 \h </w:instrText>
            </w:r>
            <w:r w:rsidR="005A3C18">
              <w:rPr>
                <w:noProof/>
                <w:webHidden/>
              </w:rPr>
            </w:r>
            <w:r w:rsidR="005A3C18">
              <w:rPr>
                <w:noProof/>
                <w:webHidden/>
              </w:rPr>
              <w:fldChar w:fldCharType="separate"/>
            </w:r>
            <w:r w:rsidR="00DC5C93">
              <w:rPr>
                <w:noProof/>
                <w:webHidden/>
              </w:rPr>
              <w:t>18</w:t>
            </w:r>
            <w:r w:rsidR="005A3C18">
              <w:rPr>
                <w:noProof/>
                <w:webHidden/>
              </w:rPr>
              <w:fldChar w:fldCharType="end"/>
            </w:r>
          </w:hyperlink>
        </w:p>
        <w:p w14:paraId="194A02D9" w14:textId="234FFF43" w:rsidR="005A3C18" w:rsidRDefault="005A7D2B">
          <w:pPr>
            <w:pStyle w:val="TOC1"/>
            <w:tabs>
              <w:tab w:val="right" w:leader="dot" w:pos="9350"/>
            </w:tabs>
            <w:rPr>
              <w:noProof/>
              <w:sz w:val="22"/>
              <w:szCs w:val="22"/>
            </w:rPr>
          </w:pPr>
          <w:hyperlink w:anchor="_Toc130291148" w:history="1">
            <w:r w:rsidR="005A3C18" w:rsidRPr="00D15D5F">
              <w:rPr>
                <w:rStyle w:val="Hyperlink"/>
                <w:rFonts w:ascii="Times New Roman" w:hAnsi="Times New Roman" w:cs="Times New Roman"/>
                <w:noProof/>
              </w:rPr>
              <w:t>Section V: Volunteers – their contributions now, and future opportunities</w:t>
            </w:r>
            <w:r w:rsidR="005A3C18">
              <w:rPr>
                <w:noProof/>
                <w:webHidden/>
              </w:rPr>
              <w:tab/>
            </w:r>
            <w:r w:rsidR="005A3C18">
              <w:rPr>
                <w:noProof/>
                <w:webHidden/>
              </w:rPr>
              <w:fldChar w:fldCharType="begin"/>
            </w:r>
            <w:r w:rsidR="005A3C18">
              <w:rPr>
                <w:noProof/>
                <w:webHidden/>
              </w:rPr>
              <w:instrText xml:space="preserve"> PAGEREF _Toc130291148 \h </w:instrText>
            </w:r>
            <w:r w:rsidR="005A3C18">
              <w:rPr>
                <w:noProof/>
                <w:webHidden/>
              </w:rPr>
            </w:r>
            <w:r w:rsidR="005A3C18">
              <w:rPr>
                <w:noProof/>
                <w:webHidden/>
              </w:rPr>
              <w:fldChar w:fldCharType="separate"/>
            </w:r>
            <w:r w:rsidR="00DC5C93">
              <w:rPr>
                <w:noProof/>
                <w:webHidden/>
              </w:rPr>
              <w:t>20</w:t>
            </w:r>
            <w:r w:rsidR="005A3C18">
              <w:rPr>
                <w:noProof/>
                <w:webHidden/>
              </w:rPr>
              <w:fldChar w:fldCharType="end"/>
            </w:r>
          </w:hyperlink>
        </w:p>
        <w:p w14:paraId="475C03EA" w14:textId="5FB6BF41" w:rsidR="005A3C18" w:rsidRDefault="005A7D2B">
          <w:pPr>
            <w:pStyle w:val="TOC1"/>
            <w:tabs>
              <w:tab w:val="right" w:leader="dot" w:pos="9350"/>
            </w:tabs>
            <w:rPr>
              <w:noProof/>
              <w:sz w:val="22"/>
              <w:szCs w:val="22"/>
            </w:rPr>
          </w:pPr>
          <w:hyperlink w:anchor="_Toc130291149" w:history="1">
            <w:r w:rsidR="005A3C18" w:rsidRPr="00D15D5F">
              <w:rPr>
                <w:rStyle w:val="Hyperlink"/>
                <w:rFonts w:ascii="Times New Roman" w:hAnsi="Times New Roman" w:cs="Times New Roman"/>
                <w:bCs/>
                <w:noProof/>
              </w:rPr>
              <w:t>Section VI: Covid-19/Pandemic Response</w:t>
            </w:r>
            <w:r w:rsidR="005A3C18">
              <w:rPr>
                <w:noProof/>
                <w:webHidden/>
              </w:rPr>
              <w:tab/>
            </w:r>
            <w:r w:rsidR="005A3C18">
              <w:rPr>
                <w:noProof/>
                <w:webHidden/>
              </w:rPr>
              <w:fldChar w:fldCharType="begin"/>
            </w:r>
            <w:r w:rsidR="005A3C18">
              <w:rPr>
                <w:noProof/>
                <w:webHidden/>
              </w:rPr>
              <w:instrText xml:space="preserve"> PAGEREF _Toc130291149 \h </w:instrText>
            </w:r>
            <w:r w:rsidR="005A3C18">
              <w:rPr>
                <w:noProof/>
                <w:webHidden/>
              </w:rPr>
            </w:r>
            <w:r w:rsidR="005A3C18">
              <w:rPr>
                <w:noProof/>
                <w:webHidden/>
              </w:rPr>
              <w:fldChar w:fldCharType="separate"/>
            </w:r>
            <w:r w:rsidR="00DC5C93">
              <w:rPr>
                <w:noProof/>
                <w:webHidden/>
              </w:rPr>
              <w:t>21</w:t>
            </w:r>
            <w:r w:rsidR="005A3C18">
              <w:rPr>
                <w:noProof/>
                <w:webHidden/>
              </w:rPr>
              <w:fldChar w:fldCharType="end"/>
            </w:r>
          </w:hyperlink>
        </w:p>
        <w:p w14:paraId="300F13FB" w14:textId="63D970A8" w:rsidR="005A3C18" w:rsidRDefault="005A7D2B">
          <w:pPr>
            <w:pStyle w:val="TOC1"/>
            <w:tabs>
              <w:tab w:val="right" w:leader="dot" w:pos="9350"/>
            </w:tabs>
            <w:rPr>
              <w:noProof/>
              <w:sz w:val="22"/>
              <w:szCs w:val="22"/>
            </w:rPr>
          </w:pPr>
          <w:hyperlink w:anchor="_Toc130291150" w:history="1">
            <w:r w:rsidR="005A3C18" w:rsidRPr="00D15D5F">
              <w:rPr>
                <w:rStyle w:val="Hyperlink"/>
                <w:rFonts w:ascii="Times New Roman" w:hAnsi="Times New Roman" w:cs="Times New Roman"/>
                <w:bCs/>
                <w:noProof/>
              </w:rPr>
              <w:t>Section VII: Equity</w:t>
            </w:r>
            <w:r w:rsidR="005A3C18">
              <w:rPr>
                <w:noProof/>
                <w:webHidden/>
              </w:rPr>
              <w:tab/>
            </w:r>
            <w:r w:rsidR="005A3C18">
              <w:rPr>
                <w:noProof/>
                <w:webHidden/>
              </w:rPr>
              <w:fldChar w:fldCharType="begin"/>
            </w:r>
            <w:r w:rsidR="005A3C18">
              <w:rPr>
                <w:noProof/>
                <w:webHidden/>
              </w:rPr>
              <w:instrText xml:space="preserve"> PAGEREF _Toc130291150 \h </w:instrText>
            </w:r>
            <w:r w:rsidR="005A3C18">
              <w:rPr>
                <w:noProof/>
                <w:webHidden/>
              </w:rPr>
            </w:r>
            <w:r w:rsidR="005A3C18">
              <w:rPr>
                <w:noProof/>
                <w:webHidden/>
              </w:rPr>
              <w:fldChar w:fldCharType="separate"/>
            </w:r>
            <w:r w:rsidR="00DC5C93">
              <w:rPr>
                <w:noProof/>
                <w:webHidden/>
              </w:rPr>
              <w:t>23</w:t>
            </w:r>
            <w:r w:rsidR="005A3C18">
              <w:rPr>
                <w:noProof/>
                <w:webHidden/>
              </w:rPr>
              <w:fldChar w:fldCharType="end"/>
            </w:r>
          </w:hyperlink>
        </w:p>
        <w:p w14:paraId="4D7E5435" w14:textId="1F1C8EAB" w:rsidR="005A3C18" w:rsidRDefault="005A7D2B">
          <w:pPr>
            <w:pStyle w:val="TOC1"/>
            <w:tabs>
              <w:tab w:val="right" w:leader="dot" w:pos="9350"/>
            </w:tabs>
            <w:rPr>
              <w:noProof/>
              <w:sz w:val="22"/>
              <w:szCs w:val="22"/>
            </w:rPr>
          </w:pPr>
          <w:hyperlink w:anchor="_Toc130291151" w:history="1">
            <w:r w:rsidR="005A3C18" w:rsidRPr="00D15D5F">
              <w:rPr>
                <w:rStyle w:val="Hyperlink"/>
                <w:rFonts w:ascii="Times New Roman" w:hAnsi="Times New Roman" w:cs="Times New Roman"/>
                <w:bCs/>
                <w:noProof/>
              </w:rPr>
              <w:t>Section VIII: Questions</w:t>
            </w:r>
            <w:r w:rsidR="005A3C18">
              <w:rPr>
                <w:noProof/>
                <w:webHidden/>
              </w:rPr>
              <w:tab/>
            </w:r>
            <w:r w:rsidR="005A3C18">
              <w:rPr>
                <w:noProof/>
                <w:webHidden/>
              </w:rPr>
              <w:fldChar w:fldCharType="begin"/>
            </w:r>
            <w:r w:rsidR="005A3C18">
              <w:rPr>
                <w:noProof/>
                <w:webHidden/>
              </w:rPr>
              <w:instrText xml:space="preserve"> PAGEREF _Toc130291151 \h </w:instrText>
            </w:r>
            <w:r w:rsidR="005A3C18">
              <w:rPr>
                <w:noProof/>
                <w:webHidden/>
              </w:rPr>
            </w:r>
            <w:r w:rsidR="005A3C18">
              <w:rPr>
                <w:noProof/>
                <w:webHidden/>
              </w:rPr>
              <w:fldChar w:fldCharType="separate"/>
            </w:r>
            <w:r w:rsidR="00DC5C93">
              <w:rPr>
                <w:noProof/>
                <w:webHidden/>
              </w:rPr>
              <w:t>24</w:t>
            </w:r>
            <w:r w:rsidR="005A3C18">
              <w:rPr>
                <w:noProof/>
                <w:webHidden/>
              </w:rPr>
              <w:fldChar w:fldCharType="end"/>
            </w:r>
          </w:hyperlink>
        </w:p>
        <w:p w14:paraId="02714ECC" w14:textId="20A2B637" w:rsidR="005A3C18" w:rsidRDefault="005A7D2B">
          <w:pPr>
            <w:pStyle w:val="TOC3"/>
            <w:tabs>
              <w:tab w:val="right" w:leader="dot" w:pos="9350"/>
            </w:tabs>
            <w:rPr>
              <w:noProof/>
              <w:sz w:val="22"/>
              <w:szCs w:val="22"/>
            </w:rPr>
          </w:pPr>
          <w:hyperlink w:anchor="_Toc130291152" w:history="1">
            <w:r w:rsidR="005A3C18" w:rsidRPr="00D15D5F">
              <w:rPr>
                <w:rStyle w:val="Hyperlink"/>
                <w:rFonts w:ascii="Times New Roman" w:hAnsi="Times New Roman" w:cs="Times New Roman"/>
                <w:bCs/>
                <w:noProof/>
              </w:rPr>
              <w:t>Services</w:t>
            </w:r>
            <w:r w:rsidR="005A3C18">
              <w:rPr>
                <w:noProof/>
                <w:webHidden/>
              </w:rPr>
              <w:tab/>
            </w:r>
            <w:r w:rsidR="005A3C18">
              <w:rPr>
                <w:noProof/>
                <w:webHidden/>
              </w:rPr>
              <w:fldChar w:fldCharType="begin"/>
            </w:r>
            <w:r w:rsidR="005A3C18">
              <w:rPr>
                <w:noProof/>
                <w:webHidden/>
              </w:rPr>
              <w:instrText xml:space="preserve"> PAGEREF _Toc130291152 \h </w:instrText>
            </w:r>
            <w:r w:rsidR="005A3C18">
              <w:rPr>
                <w:noProof/>
                <w:webHidden/>
              </w:rPr>
            </w:r>
            <w:r w:rsidR="005A3C18">
              <w:rPr>
                <w:noProof/>
                <w:webHidden/>
              </w:rPr>
              <w:fldChar w:fldCharType="separate"/>
            </w:r>
            <w:r w:rsidR="00DC5C93">
              <w:rPr>
                <w:noProof/>
                <w:webHidden/>
              </w:rPr>
              <w:t>24</w:t>
            </w:r>
            <w:r w:rsidR="005A3C18">
              <w:rPr>
                <w:noProof/>
                <w:webHidden/>
              </w:rPr>
              <w:fldChar w:fldCharType="end"/>
            </w:r>
          </w:hyperlink>
        </w:p>
        <w:p w14:paraId="4FE89DE8" w14:textId="1BE8DBC7" w:rsidR="005A3C18" w:rsidRDefault="005A7D2B">
          <w:pPr>
            <w:pStyle w:val="TOC3"/>
            <w:tabs>
              <w:tab w:val="right" w:leader="dot" w:pos="9350"/>
            </w:tabs>
            <w:rPr>
              <w:noProof/>
              <w:sz w:val="22"/>
              <w:szCs w:val="22"/>
            </w:rPr>
          </w:pPr>
          <w:hyperlink w:anchor="_Toc130291153" w:history="1">
            <w:r w:rsidR="005A3C18" w:rsidRPr="00D15D5F">
              <w:rPr>
                <w:rStyle w:val="Hyperlink"/>
                <w:rFonts w:ascii="Times New Roman" w:hAnsi="Times New Roman" w:cs="Times New Roman"/>
                <w:noProof/>
              </w:rPr>
              <w:t>Ombudsman and Legal Assistance</w:t>
            </w:r>
            <w:r w:rsidR="005A3C18">
              <w:rPr>
                <w:noProof/>
                <w:webHidden/>
              </w:rPr>
              <w:tab/>
            </w:r>
            <w:r w:rsidR="005A3C18">
              <w:rPr>
                <w:noProof/>
                <w:webHidden/>
              </w:rPr>
              <w:fldChar w:fldCharType="begin"/>
            </w:r>
            <w:r w:rsidR="005A3C18">
              <w:rPr>
                <w:noProof/>
                <w:webHidden/>
              </w:rPr>
              <w:instrText xml:space="preserve"> PAGEREF _Toc130291153 \h </w:instrText>
            </w:r>
            <w:r w:rsidR="005A3C18">
              <w:rPr>
                <w:noProof/>
                <w:webHidden/>
              </w:rPr>
            </w:r>
            <w:r w:rsidR="005A3C18">
              <w:rPr>
                <w:noProof/>
                <w:webHidden/>
              </w:rPr>
              <w:fldChar w:fldCharType="separate"/>
            </w:r>
            <w:r w:rsidR="00DC5C93">
              <w:rPr>
                <w:noProof/>
                <w:webHidden/>
              </w:rPr>
              <w:t>24</w:t>
            </w:r>
            <w:r w:rsidR="005A3C18">
              <w:rPr>
                <w:noProof/>
                <w:webHidden/>
              </w:rPr>
              <w:fldChar w:fldCharType="end"/>
            </w:r>
          </w:hyperlink>
        </w:p>
        <w:p w14:paraId="29FEB729" w14:textId="01989E59" w:rsidR="005A3C18" w:rsidRDefault="005A7D2B">
          <w:pPr>
            <w:pStyle w:val="TOC3"/>
            <w:tabs>
              <w:tab w:val="right" w:leader="dot" w:pos="9350"/>
            </w:tabs>
            <w:rPr>
              <w:noProof/>
              <w:sz w:val="22"/>
              <w:szCs w:val="22"/>
            </w:rPr>
          </w:pPr>
          <w:hyperlink w:anchor="_Toc130291154" w:history="1">
            <w:r w:rsidR="005A3C18" w:rsidRPr="00D15D5F">
              <w:rPr>
                <w:rStyle w:val="Hyperlink"/>
                <w:rFonts w:ascii="Times New Roman" w:hAnsi="Times New Roman" w:cs="Times New Roman"/>
                <w:noProof/>
              </w:rPr>
              <w:t>Other Services</w:t>
            </w:r>
            <w:r w:rsidR="005A3C18">
              <w:rPr>
                <w:noProof/>
                <w:webHidden/>
              </w:rPr>
              <w:tab/>
            </w:r>
            <w:r w:rsidR="005A3C18">
              <w:rPr>
                <w:noProof/>
                <w:webHidden/>
              </w:rPr>
              <w:fldChar w:fldCharType="begin"/>
            </w:r>
            <w:r w:rsidR="005A3C18">
              <w:rPr>
                <w:noProof/>
                <w:webHidden/>
              </w:rPr>
              <w:instrText xml:space="preserve"> PAGEREF _Toc130291154 \h </w:instrText>
            </w:r>
            <w:r w:rsidR="005A3C18">
              <w:rPr>
                <w:noProof/>
                <w:webHidden/>
              </w:rPr>
            </w:r>
            <w:r w:rsidR="005A3C18">
              <w:rPr>
                <w:noProof/>
                <w:webHidden/>
              </w:rPr>
              <w:fldChar w:fldCharType="separate"/>
            </w:r>
            <w:r w:rsidR="00DC5C93">
              <w:rPr>
                <w:noProof/>
                <w:webHidden/>
              </w:rPr>
              <w:t>25</w:t>
            </w:r>
            <w:r w:rsidR="005A3C18">
              <w:rPr>
                <w:noProof/>
                <w:webHidden/>
              </w:rPr>
              <w:fldChar w:fldCharType="end"/>
            </w:r>
          </w:hyperlink>
        </w:p>
        <w:p w14:paraId="2BC55D43" w14:textId="1DF30696" w:rsidR="005A3C18" w:rsidRDefault="005A7D2B">
          <w:pPr>
            <w:pStyle w:val="TOC3"/>
            <w:tabs>
              <w:tab w:val="right" w:leader="dot" w:pos="9350"/>
            </w:tabs>
            <w:rPr>
              <w:noProof/>
              <w:sz w:val="22"/>
              <w:szCs w:val="22"/>
            </w:rPr>
          </w:pPr>
          <w:hyperlink w:anchor="_Toc130291155" w:history="1">
            <w:r w:rsidR="005A3C18" w:rsidRPr="00D15D5F">
              <w:rPr>
                <w:rStyle w:val="Hyperlink"/>
                <w:rFonts w:ascii="Times New Roman" w:hAnsi="Times New Roman" w:cs="Times New Roman"/>
                <w:noProof/>
              </w:rPr>
              <w:t>Targeting and Outreach</w:t>
            </w:r>
            <w:r w:rsidR="005A3C18">
              <w:rPr>
                <w:noProof/>
                <w:webHidden/>
              </w:rPr>
              <w:tab/>
            </w:r>
            <w:r w:rsidR="005A3C18">
              <w:rPr>
                <w:noProof/>
                <w:webHidden/>
              </w:rPr>
              <w:fldChar w:fldCharType="begin"/>
            </w:r>
            <w:r w:rsidR="005A3C18">
              <w:rPr>
                <w:noProof/>
                <w:webHidden/>
              </w:rPr>
              <w:instrText xml:space="preserve"> PAGEREF _Toc130291155 \h </w:instrText>
            </w:r>
            <w:r w:rsidR="005A3C18">
              <w:rPr>
                <w:noProof/>
                <w:webHidden/>
              </w:rPr>
            </w:r>
            <w:r w:rsidR="005A3C18">
              <w:rPr>
                <w:noProof/>
                <w:webHidden/>
              </w:rPr>
              <w:fldChar w:fldCharType="separate"/>
            </w:r>
            <w:r w:rsidR="00DC5C93">
              <w:rPr>
                <w:noProof/>
                <w:webHidden/>
              </w:rPr>
              <w:t>26</w:t>
            </w:r>
            <w:r w:rsidR="005A3C18">
              <w:rPr>
                <w:noProof/>
                <w:webHidden/>
              </w:rPr>
              <w:fldChar w:fldCharType="end"/>
            </w:r>
          </w:hyperlink>
        </w:p>
        <w:p w14:paraId="4D97A41D" w14:textId="19AB61D8" w:rsidR="005A3C18" w:rsidRDefault="005A7D2B">
          <w:pPr>
            <w:pStyle w:val="TOC3"/>
            <w:tabs>
              <w:tab w:val="right" w:leader="dot" w:pos="9350"/>
            </w:tabs>
            <w:rPr>
              <w:noProof/>
              <w:sz w:val="22"/>
              <w:szCs w:val="22"/>
            </w:rPr>
          </w:pPr>
          <w:hyperlink w:anchor="_Toc130291156" w:history="1">
            <w:r w:rsidR="005A3C18" w:rsidRPr="00D15D5F">
              <w:rPr>
                <w:rStyle w:val="Hyperlink"/>
                <w:rFonts w:ascii="Times New Roman" w:hAnsi="Times New Roman" w:cs="Times New Roman"/>
                <w:noProof/>
              </w:rPr>
              <w:t>Innovation and Expansion of Services</w:t>
            </w:r>
            <w:r w:rsidR="005A3C18">
              <w:rPr>
                <w:noProof/>
                <w:webHidden/>
              </w:rPr>
              <w:tab/>
            </w:r>
            <w:r w:rsidR="005A3C18">
              <w:rPr>
                <w:noProof/>
                <w:webHidden/>
              </w:rPr>
              <w:fldChar w:fldCharType="begin"/>
            </w:r>
            <w:r w:rsidR="005A3C18">
              <w:rPr>
                <w:noProof/>
                <w:webHidden/>
              </w:rPr>
              <w:instrText xml:space="preserve"> PAGEREF _Toc130291156 \h </w:instrText>
            </w:r>
            <w:r w:rsidR="005A3C18">
              <w:rPr>
                <w:noProof/>
                <w:webHidden/>
              </w:rPr>
            </w:r>
            <w:r w:rsidR="005A3C18">
              <w:rPr>
                <w:noProof/>
                <w:webHidden/>
              </w:rPr>
              <w:fldChar w:fldCharType="separate"/>
            </w:r>
            <w:r w:rsidR="00DC5C93">
              <w:rPr>
                <w:noProof/>
                <w:webHidden/>
              </w:rPr>
              <w:t>26</w:t>
            </w:r>
            <w:r w:rsidR="005A3C18">
              <w:rPr>
                <w:noProof/>
                <w:webHidden/>
              </w:rPr>
              <w:fldChar w:fldCharType="end"/>
            </w:r>
          </w:hyperlink>
        </w:p>
        <w:p w14:paraId="4D7FBF08" w14:textId="3B92656F" w:rsidR="005A3C18" w:rsidRDefault="005A7D2B">
          <w:pPr>
            <w:pStyle w:val="TOC1"/>
            <w:tabs>
              <w:tab w:val="right" w:leader="dot" w:pos="9350"/>
            </w:tabs>
            <w:rPr>
              <w:noProof/>
              <w:sz w:val="22"/>
              <w:szCs w:val="22"/>
            </w:rPr>
          </w:pPr>
          <w:hyperlink w:anchor="_Toc130291157" w:history="1">
            <w:r w:rsidR="005A3C18" w:rsidRPr="00D15D5F">
              <w:rPr>
                <w:rStyle w:val="Hyperlink"/>
                <w:rFonts w:ascii="Times New Roman" w:hAnsi="Times New Roman" w:cs="Times New Roman"/>
                <w:noProof/>
              </w:rPr>
              <w:t>Section VII: Title III / VI Coordination</w:t>
            </w:r>
            <w:r w:rsidR="005A3C18">
              <w:rPr>
                <w:noProof/>
                <w:webHidden/>
              </w:rPr>
              <w:tab/>
            </w:r>
            <w:r w:rsidR="005A3C18">
              <w:rPr>
                <w:noProof/>
                <w:webHidden/>
              </w:rPr>
              <w:fldChar w:fldCharType="begin"/>
            </w:r>
            <w:r w:rsidR="005A3C18">
              <w:rPr>
                <w:noProof/>
                <w:webHidden/>
              </w:rPr>
              <w:instrText xml:space="preserve"> PAGEREF _Toc130291157 \h </w:instrText>
            </w:r>
            <w:r w:rsidR="005A3C18">
              <w:rPr>
                <w:noProof/>
                <w:webHidden/>
              </w:rPr>
            </w:r>
            <w:r w:rsidR="005A3C18">
              <w:rPr>
                <w:noProof/>
                <w:webHidden/>
              </w:rPr>
              <w:fldChar w:fldCharType="separate"/>
            </w:r>
            <w:r w:rsidR="00DC5C93">
              <w:rPr>
                <w:noProof/>
                <w:webHidden/>
              </w:rPr>
              <w:t>28</w:t>
            </w:r>
            <w:r w:rsidR="005A3C18">
              <w:rPr>
                <w:noProof/>
                <w:webHidden/>
              </w:rPr>
              <w:fldChar w:fldCharType="end"/>
            </w:r>
          </w:hyperlink>
        </w:p>
        <w:p w14:paraId="38D06F39" w14:textId="0C6B4225" w:rsidR="005A3C18" w:rsidRDefault="005A7D2B">
          <w:pPr>
            <w:pStyle w:val="TOC1"/>
            <w:tabs>
              <w:tab w:val="right" w:leader="dot" w:pos="9350"/>
            </w:tabs>
            <w:rPr>
              <w:noProof/>
              <w:sz w:val="22"/>
              <w:szCs w:val="22"/>
            </w:rPr>
          </w:pPr>
          <w:hyperlink w:anchor="_Toc130291158" w:history="1">
            <w:r w:rsidR="005A3C18" w:rsidRPr="00D15D5F">
              <w:rPr>
                <w:rStyle w:val="Hyperlink"/>
                <w:rFonts w:ascii="Times New Roman" w:hAnsi="Times New Roman" w:cs="Times New Roman"/>
                <w:noProof/>
              </w:rPr>
              <w:t>Section IX: Additional Priorities Identified by the AAA (Optional)</w:t>
            </w:r>
            <w:r w:rsidR="005A3C18">
              <w:rPr>
                <w:noProof/>
                <w:webHidden/>
              </w:rPr>
              <w:tab/>
            </w:r>
            <w:r w:rsidR="005A3C18">
              <w:rPr>
                <w:noProof/>
                <w:webHidden/>
              </w:rPr>
              <w:fldChar w:fldCharType="begin"/>
            </w:r>
            <w:r w:rsidR="005A3C18">
              <w:rPr>
                <w:noProof/>
                <w:webHidden/>
              </w:rPr>
              <w:instrText xml:space="preserve"> PAGEREF _Toc130291158 \h </w:instrText>
            </w:r>
            <w:r w:rsidR="005A3C18">
              <w:rPr>
                <w:noProof/>
                <w:webHidden/>
              </w:rPr>
            </w:r>
            <w:r w:rsidR="005A3C18">
              <w:rPr>
                <w:noProof/>
                <w:webHidden/>
              </w:rPr>
              <w:fldChar w:fldCharType="separate"/>
            </w:r>
            <w:r w:rsidR="00DC5C93">
              <w:rPr>
                <w:noProof/>
                <w:webHidden/>
              </w:rPr>
              <w:t>29</w:t>
            </w:r>
            <w:r w:rsidR="005A3C18">
              <w:rPr>
                <w:noProof/>
                <w:webHidden/>
              </w:rPr>
              <w:fldChar w:fldCharType="end"/>
            </w:r>
          </w:hyperlink>
        </w:p>
        <w:p w14:paraId="2F47A4F7" w14:textId="5725BC50" w:rsidR="005A3C18" w:rsidRDefault="005A7D2B">
          <w:pPr>
            <w:pStyle w:val="TOC1"/>
            <w:tabs>
              <w:tab w:val="right" w:leader="dot" w:pos="9350"/>
            </w:tabs>
            <w:rPr>
              <w:noProof/>
              <w:sz w:val="22"/>
              <w:szCs w:val="22"/>
            </w:rPr>
          </w:pPr>
          <w:hyperlink w:anchor="_Toc130291159" w:history="1">
            <w:r w:rsidR="005A3C18" w:rsidRPr="00D15D5F">
              <w:rPr>
                <w:rStyle w:val="Hyperlink"/>
                <w:rFonts w:ascii="Times New Roman" w:hAnsi="Times New Roman" w:cs="Times New Roman"/>
                <w:noProof/>
              </w:rPr>
              <w:t>Section X: Forms</w:t>
            </w:r>
            <w:r w:rsidR="005A3C18">
              <w:rPr>
                <w:noProof/>
                <w:webHidden/>
              </w:rPr>
              <w:tab/>
            </w:r>
            <w:r w:rsidR="005A3C18">
              <w:rPr>
                <w:noProof/>
                <w:webHidden/>
              </w:rPr>
              <w:fldChar w:fldCharType="begin"/>
            </w:r>
            <w:r w:rsidR="005A3C18">
              <w:rPr>
                <w:noProof/>
                <w:webHidden/>
              </w:rPr>
              <w:instrText xml:space="preserve"> PAGEREF _Toc130291159 \h </w:instrText>
            </w:r>
            <w:r w:rsidR="005A3C18">
              <w:rPr>
                <w:noProof/>
                <w:webHidden/>
              </w:rPr>
            </w:r>
            <w:r w:rsidR="005A3C18">
              <w:rPr>
                <w:noProof/>
                <w:webHidden/>
              </w:rPr>
              <w:fldChar w:fldCharType="separate"/>
            </w:r>
            <w:r w:rsidR="00DC5C93">
              <w:rPr>
                <w:noProof/>
                <w:webHidden/>
              </w:rPr>
              <w:t>30</w:t>
            </w:r>
            <w:r w:rsidR="005A3C18">
              <w:rPr>
                <w:noProof/>
                <w:webHidden/>
              </w:rPr>
              <w:fldChar w:fldCharType="end"/>
            </w:r>
          </w:hyperlink>
        </w:p>
        <w:p w14:paraId="65BF2FC7" w14:textId="6A90679A" w:rsidR="00C957BC" w:rsidRDefault="00C957BC">
          <w:r w:rsidRPr="001B1CD0">
            <w:rPr>
              <w:rFonts w:ascii="Times New Roman" w:hAnsi="Times New Roman" w:cs="Times New Roman"/>
              <w:b/>
            </w:rPr>
            <w:fldChar w:fldCharType="end"/>
          </w:r>
        </w:p>
      </w:sdtContent>
    </w:sdt>
    <w:p w14:paraId="531C332A" w14:textId="5499AFF7" w:rsidR="004F42D3" w:rsidRPr="00232D1D" w:rsidRDefault="008A36C7" w:rsidP="00232D1D">
      <w:pPr>
        <w:jc w:val="both"/>
        <w:rPr>
          <w:rFonts w:ascii="Times New Roman" w:hAnsi="Times New Roman" w:cs="Times New Roman"/>
          <w:sz w:val="24"/>
          <w:szCs w:val="24"/>
        </w:rPr>
      </w:pPr>
      <w:r>
        <w:br w:type="page"/>
      </w:r>
      <w:r w:rsidR="00197138" w:rsidRPr="00232D1D">
        <w:rPr>
          <w:rFonts w:ascii="Times New Roman" w:hAnsi="Times New Roman" w:cs="Times New Roman"/>
          <w:sz w:val="24"/>
          <w:szCs w:val="24"/>
        </w:rPr>
        <w:lastRenderedPageBreak/>
        <w:t>Background on the Older Americans Act</w:t>
      </w:r>
      <w:r w:rsidR="0004131D" w:rsidRPr="00232D1D">
        <w:rPr>
          <w:rFonts w:ascii="Times New Roman" w:hAnsi="Times New Roman" w:cs="Times New Roman"/>
          <w:sz w:val="24"/>
          <w:szCs w:val="24"/>
        </w:rPr>
        <w:t xml:space="preserve"> (OAA)</w:t>
      </w:r>
      <w:r w:rsidR="00197138" w:rsidRPr="00232D1D">
        <w:rPr>
          <w:rFonts w:ascii="Times New Roman" w:hAnsi="Times New Roman" w:cs="Times New Roman"/>
          <w:sz w:val="24"/>
          <w:szCs w:val="24"/>
        </w:rPr>
        <w:t xml:space="preserve">, State Funds for Senior Services </w:t>
      </w:r>
      <w:r w:rsidR="0004131D" w:rsidRPr="00232D1D">
        <w:rPr>
          <w:rFonts w:ascii="Times New Roman" w:hAnsi="Times New Roman" w:cs="Times New Roman"/>
          <w:sz w:val="24"/>
          <w:szCs w:val="24"/>
        </w:rPr>
        <w:t xml:space="preserve">(SFSS) </w:t>
      </w:r>
      <w:r w:rsidR="00197138" w:rsidRPr="00232D1D">
        <w:rPr>
          <w:rFonts w:ascii="Times New Roman" w:hAnsi="Times New Roman" w:cs="Times New Roman"/>
          <w:sz w:val="24"/>
          <w:szCs w:val="24"/>
        </w:rPr>
        <w:t xml:space="preserve">and the East Central Council of </w:t>
      </w:r>
      <w:r w:rsidR="004F42D3" w:rsidRPr="00232D1D">
        <w:rPr>
          <w:rFonts w:ascii="Times New Roman" w:hAnsi="Times New Roman" w:cs="Times New Roman"/>
          <w:sz w:val="24"/>
          <w:szCs w:val="24"/>
        </w:rPr>
        <w:t>Governments, Area Agency on Aging</w:t>
      </w:r>
    </w:p>
    <w:p w14:paraId="3514088A" w14:textId="1B1D0FCB" w:rsidR="00C23A3F" w:rsidRPr="00232D1D" w:rsidRDefault="00C23A3F" w:rsidP="00232D1D">
      <w:pPr>
        <w:jc w:val="both"/>
        <w:rPr>
          <w:rFonts w:ascii="Times New Roman" w:hAnsi="Times New Roman" w:cs="Times New Roman"/>
          <w:sz w:val="24"/>
          <w:szCs w:val="24"/>
        </w:rPr>
      </w:pPr>
      <w:r w:rsidRPr="00232D1D">
        <w:rPr>
          <w:rFonts w:ascii="Times New Roman" w:hAnsi="Times New Roman" w:cs="Times New Roman"/>
          <w:sz w:val="24"/>
          <w:szCs w:val="24"/>
        </w:rPr>
        <w:t>The Older Americans Act was signed into law on July 14, 1965, establishing the Administration on Aging at the Federal level in the U.S. Department of Health and Human Services. The Act is intended to assist elderly Americans maintain their dignity and live independently in their own communities by removing barriers to independent living and providing continual care for vulnerable older individuals. As a result of this Act</w:t>
      </w:r>
      <w:r w:rsidR="00170847" w:rsidRPr="00232D1D">
        <w:rPr>
          <w:rFonts w:ascii="Times New Roman" w:hAnsi="Times New Roman" w:cs="Times New Roman"/>
          <w:sz w:val="24"/>
          <w:szCs w:val="24"/>
        </w:rPr>
        <w:t>, community-based services and nutrition service programs for America’s older adults</w:t>
      </w:r>
      <w:r w:rsidR="002F5A55" w:rsidRPr="00232D1D">
        <w:rPr>
          <w:rFonts w:ascii="Times New Roman" w:hAnsi="Times New Roman" w:cs="Times New Roman"/>
          <w:sz w:val="24"/>
          <w:szCs w:val="24"/>
        </w:rPr>
        <w:t xml:space="preserve"> were established, and the national structure of the “Aging Services Network” was formed. </w:t>
      </w:r>
      <w:r w:rsidR="00813F39" w:rsidRPr="00232D1D">
        <w:rPr>
          <w:rFonts w:ascii="Times New Roman" w:hAnsi="Times New Roman" w:cs="Times New Roman"/>
          <w:sz w:val="24"/>
          <w:szCs w:val="24"/>
        </w:rPr>
        <w:t xml:space="preserve">Under the Older Americans Act, the network </w:t>
      </w:r>
      <w:r w:rsidR="00424A07" w:rsidRPr="00232D1D">
        <w:rPr>
          <w:rFonts w:ascii="Times New Roman" w:hAnsi="Times New Roman" w:cs="Times New Roman"/>
          <w:sz w:val="24"/>
          <w:szCs w:val="24"/>
        </w:rPr>
        <w:t>wa</w:t>
      </w:r>
      <w:r w:rsidR="00813F39" w:rsidRPr="00232D1D">
        <w:rPr>
          <w:rFonts w:ascii="Times New Roman" w:hAnsi="Times New Roman" w:cs="Times New Roman"/>
          <w:sz w:val="24"/>
          <w:szCs w:val="24"/>
        </w:rPr>
        <w:t xml:space="preserve">s charged with the responsibility </w:t>
      </w:r>
      <w:r w:rsidR="00225761" w:rsidRPr="00232D1D">
        <w:rPr>
          <w:rFonts w:ascii="Times New Roman" w:hAnsi="Times New Roman" w:cs="Times New Roman"/>
          <w:sz w:val="24"/>
          <w:szCs w:val="24"/>
        </w:rPr>
        <w:t>for pr</w:t>
      </w:r>
      <w:r w:rsidR="0077403A" w:rsidRPr="00232D1D">
        <w:rPr>
          <w:rFonts w:ascii="Times New Roman" w:hAnsi="Times New Roman" w:cs="Times New Roman"/>
          <w:sz w:val="24"/>
          <w:szCs w:val="24"/>
        </w:rPr>
        <w:t>o</w:t>
      </w:r>
      <w:r w:rsidR="00225761" w:rsidRPr="00232D1D">
        <w:rPr>
          <w:rFonts w:ascii="Times New Roman" w:hAnsi="Times New Roman" w:cs="Times New Roman"/>
          <w:sz w:val="24"/>
          <w:szCs w:val="24"/>
        </w:rPr>
        <w:t xml:space="preserve">moting the development of a comprehensive and coordinated system of home and </w:t>
      </w:r>
      <w:r w:rsidR="0077403A" w:rsidRPr="00232D1D">
        <w:rPr>
          <w:rFonts w:ascii="Times New Roman" w:hAnsi="Times New Roman" w:cs="Times New Roman"/>
          <w:sz w:val="24"/>
          <w:szCs w:val="24"/>
        </w:rPr>
        <w:t>community</w:t>
      </w:r>
      <w:r w:rsidR="00225761" w:rsidRPr="00232D1D">
        <w:rPr>
          <w:rFonts w:ascii="Times New Roman" w:hAnsi="Times New Roman" w:cs="Times New Roman"/>
          <w:sz w:val="24"/>
          <w:szCs w:val="24"/>
        </w:rPr>
        <w:t xml:space="preserve">-based </w:t>
      </w:r>
      <w:r w:rsidR="0077403A" w:rsidRPr="00232D1D">
        <w:rPr>
          <w:rFonts w:ascii="Times New Roman" w:hAnsi="Times New Roman" w:cs="Times New Roman"/>
          <w:sz w:val="24"/>
          <w:szCs w:val="24"/>
        </w:rPr>
        <w:t>services</w:t>
      </w:r>
      <w:r w:rsidR="00225761" w:rsidRPr="00232D1D">
        <w:rPr>
          <w:rFonts w:ascii="Times New Roman" w:hAnsi="Times New Roman" w:cs="Times New Roman"/>
          <w:sz w:val="24"/>
          <w:szCs w:val="24"/>
        </w:rPr>
        <w:t xml:space="preserve"> for eligible persons 60 years of age</w:t>
      </w:r>
      <w:r w:rsidR="00DC0D92" w:rsidRPr="00232D1D">
        <w:rPr>
          <w:rFonts w:ascii="Times New Roman" w:hAnsi="Times New Roman" w:cs="Times New Roman"/>
          <w:sz w:val="24"/>
          <w:szCs w:val="24"/>
        </w:rPr>
        <w:t xml:space="preserve"> or older, and their caregivers. Through its Title III and VII programs</w:t>
      </w:r>
      <w:r w:rsidR="0077403A" w:rsidRPr="00232D1D">
        <w:rPr>
          <w:rFonts w:ascii="Times New Roman" w:hAnsi="Times New Roman" w:cs="Times New Roman"/>
          <w:sz w:val="24"/>
          <w:szCs w:val="24"/>
        </w:rPr>
        <w:t xml:space="preserve">, the OAA identifies Federal funds to be used by the State and by local communities to provide and develop aging services. </w:t>
      </w:r>
    </w:p>
    <w:p w14:paraId="58CDAAF2" w14:textId="2B81AA6F" w:rsidR="0077403A" w:rsidRPr="00232D1D" w:rsidRDefault="004C776A"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The Older Coloradoans Act established </w:t>
      </w:r>
      <w:r w:rsidR="009403B3" w:rsidRPr="00232D1D">
        <w:rPr>
          <w:rFonts w:ascii="Times New Roman" w:hAnsi="Times New Roman" w:cs="Times New Roman"/>
          <w:sz w:val="24"/>
          <w:szCs w:val="24"/>
        </w:rPr>
        <w:t xml:space="preserve">programs and </w:t>
      </w:r>
      <w:r w:rsidR="007D6B26" w:rsidRPr="00232D1D">
        <w:rPr>
          <w:rFonts w:ascii="Times New Roman" w:hAnsi="Times New Roman" w:cs="Times New Roman"/>
          <w:sz w:val="24"/>
          <w:szCs w:val="24"/>
        </w:rPr>
        <w:t xml:space="preserve">cash funds that, together with a General Fund portion, known as State Funds for Senior Services. The General Assembly appropriates SFSS monies that are distributed to AAAs to provide </w:t>
      </w:r>
      <w:r w:rsidR="00282311" w:rsidRPr="00232D1D">
        <w:rPr>
          <w:rFonts w:ascii="Times New Roman" w:hAnsi="Times New Roman" w:cs="Times New Roman"/>
          <w:sz w:val="24"/>
          <w:szCs w:val="24"/>
        </w:rPr>
        <w:t xml:space="preserve">programs, </w:t>
      </w:r>
      <w:r w:rsidR="007D6B26" w:rsidRPr="00232D1D">
        <w:rPr>
          <w:rFonts w:ascii="Times New Roman" w:hAnsi="Times New Roman" w:cs="Times New Roman"/>
          <w:sz w:val="24"/>
          <w:szCs w:val="24"/>
        </w:rPr>
        <w:t>services</w:t>
      </w:r>
      <w:r w:rsidR="00282311" w:rsidRPr="00232D1D">
        <w:rPr>
          <w:rFonts w:ascii="Times New Roman" w:hAnsi="Times New Roman" w:cs="Times New Roman"/>
          <w:sz w:val="24"/>
          <w:szCs w:val="24"/>
        </w:rPr>
        <w:t>,</w:t>
      </w:r>
      <w:r w:rsidR="007D6B26" w:rsidRPr="00232D1D">
        <w:rPr>
          <w:rFonts w:ascii="Times New Roman" w:hAnsi="Times New Roman" w:cs="Times New Roman"/>
          <w:sz w:val="24"/>
          <w:szCs w:val="24"/>
        </w:rPr>
        <w:t xml:space="preserve"> and </w:t>
      </w:r>
      <w:r w:rsidR="004438CB" w:rsidRPr="00232D1D">
        <w:rPr>
          <w:rFonts w:ascii="Times New Roman" w:hAnsi="Times New Roman" w:cs="Times New Roman"/>
          <w:sz w:val="24"/>
          <w:szCs w:val="24"/>
        </w:rPr>
        <w:t xml:space="preserve">supports that mirror the services standard and requirements outlined in the </w:t>
      </w:r>
      <w:r w:rsidR="00282311" w:rsidRPr="00232D1D">
        <w:rPr>
          <w:rFonts w:ascii="Times New Roman" w:hAnsi="Times New Roman" w:cs="Times New Roman"/>
          <w:sz w:val="24"/>
          <w:szCs w:val="24"/>
        </w:rPr>
        <w:t>OAA</w:t>
      </w:r>
      <w:r w:rsidR="004438CB" w:rsidRPr="00232D1D">
        <w:rPr>
          <w:rFonts w:ascii="Times New Roman" w:hAnsi="Times New Roman" w:cs="Times New Roman"/>
          <w:sz w:val="24"/>
          <w:szCs w:val="24"/>
        </w:rPr>
        <w:t>.</w:t>
      </w:r>
    </w:p>
    <w:p w14:paraId="13C46C2D" w14:textId="5D0647A2" w:rsidR="00475854" w:rsidRPr="00232D1D" w:rsidRDefault="00065BA9" w:rsidP="00232D1D">
      <w:pPr>
        <w:jc w:val="both"/>
        <w:rPr>
          <w:rFonts w:ascii="Times New Roman" w:hAnsi="Times New Roman" w:cs="Times New Roman"/>
          <w:sz w:val="24"/>
          <w:szCs w:val="24"/>
        </w:rPr>
      </w:pPr>
      <w:r w:rsidRPr="00232D1D">
        <w:rPr>
          <w:rFonts w:ascii="Times New Roman" w:hAnsi="Times New Roman" w:cs="Times New Roman"/>
          <w:sz w:val="24"/>
          <w:szCs w:val="24"/>
        </w:rPr>
        <w:t>The AAA is a division of ECCOG</w:t>
      </w:r>
      <w:r w:rsidR="009E232C">
        <w:rPr>
          <w:rFonts w:ascii="Times New Roman" w:hAnsi="Times New Roman" w:cs="Times New Roman"/>
          <w:sz w:val="24"/>
          <w:szCs w:val="24"/>
        </w:rPr>
        <w:t>,</w:t>
      </w:r>
      <w:r w:rsidR="004B59B3" w:rsidRPr="00232D1D">
        <w:rPr>
          <w:rFonts w:ascii="Times New Roman" w:hAnsi="Times New Roman" w:cs="Times New Roman"/>
          <w:sz w:val="24"/>
          <w:szCs w:val="24"/>
        </w:rPr>
        <w:t xml:space="preserve"> which </w:t>
      </w:r>
      <w:r w:rsidR="009E232C">
        <w:rPr>
          <w:rFonts w:ascii="Times New Roman" w:hAnsi="Times New Roman" w:cs="Times New Roman"/>
          <w:sz w:val="24"/>
          <w:szCs w:val="24"/>
        </w:rPr>
        <w:t>serves</w:t>
      </w:r>
      <w:r w:rsidR="004B59B3" w:rsidRPr="00232D1D">
        <w:rPr>
          <w:rFonts w:ascii="Times New Roman" w:hAnsi="Times New Roman" w:cs="Times New Roman"/>
          <w:sz w:val="24"/>
          <w:szCs w:val="24"/>
        </w:rPr>
        <w:t xml:space="preserve"> the counties of Cheyenne, Kit Carson, Lincoln</w:t>
      </w:r>
      <w:r w:rsidR="005034E6" w:rsidRPr="00232D1D">
        <w:rPr>
          <w:rFonts w:ascii="Times New Roman" w:hAnsi="Times New Roman" w:cs="Times New Roman"/>
          <w:sz w:val="24"/>
          <w:szCs w:val="24"/>
        </w:rPr>
        <w:t>,</w:t>
      </w:r>
      <w:r w:rsidR="004B59B3" w:rsidRPr="00232D1D">
        <w:rPr>
          <w:rFonts w:ascii="Times New Roman" w:hAnsi="Times New Roman" w:cs="Times New Roman"/>
          <w:sz w:val="24"/>
          <w:szCs w:val="24"/>
        </w:rPr>
        <w:t xml:space="preserve"> and Elbert</w:t>
      </w:r>
      <w:r w:rsidR="004A59D8" w:rsidRPr="00232D1D">
        <w:rPr>
          <w:rFonts w:ascii="Times New Roman" w:hAnsi="Times New Roman" w:cs="Times New Roman"/>
          <w:sz w:val="24"/>
          <w:szCs w:val="24"/>
        </w:rPr>
        <w:t>.</w:t>
      </w:r>
      <w:r w:rsidR="007326B1" w:rsidRPr="00232D1D">
        <w:rPr>
          <w:rFonts w:ascii="Times New Roman" w:hAnsi="Times New Roman" w:cs="Times New Roman"/>
          <w:sz w:val="24"/>
          <w:szCs w:val="24"/>
        </w:rPr>
        <w:t xml:space="preserve"> The AAA </w:t>
      </w:r>
      <w:r w:rsidR="009E232C">
        <w:rPr>
          <w:rFonts w:ascii="Times New Roman" w:hAnsi="Times New Roman" w:cs="Times New Roman"/>
          <w:sz w:val="24"/>
          <w:szCs w:val="24"/>
        </w:rPr>
        <w:t>focusses</w:t>
      </w:r>
      <w:r w:rsidRPr="00232D1D">
        <w:rPr>
          <w:rFonts w:ascii="Times New Roman" w:hAnsi="Times New Roman" w:cs="Times New Roman"/>
          <w:sz w:val="24"/>
          <w:szCs w:val="24"/>
        </w:rPr>
        <w:t xml:space="preserve"> older adult population</w:t>
      </w:r>
      <w:r w:rsidR="008B796D" w:rsidRPr="00232D1D">
        <w:rPr>
          <w:rFonts w:ascii="Times New Roman" w:hAnsi="Times New Roman" w:cs="Times New Roman"/>
          <w:sz w:val="24"/>
          <w:szCs w:val="24"/>
        </w:rPr>
        <w:t>, particularly those with the greatest social and economic needs. This plan describe</w:t>
      </w:r>
      <w:r w:rsidR="00D3237F" w:rsidRPr="00232D1D">
        <w:rPr>
          <w:rFonts w:ascii="Times New Roman" w:hAnsi="Times New Roman" w:cs="Times New Roman"/>
          <w:sz w:val="24"/>
          <w:szCs w:val="24"/>
        </w:rPr>
        <w:t>s</w:t>
      </w:r>
      <w:r w:rsidR="008B796D" w:rsidRPr="00232D1D">
        <w:rPr>
          <w:rFonts w:ascii="Times New Roman" w:hAnsi="Times New Roman" w:cs="Times New Roman"/>
          <w:sz w:val="24"/>
          <w:szCs w:val="24"/>
        </w:rPr>
        <w:t xml:space="preserve"> the efforts </w:t>
      </w:r>
      <w:r w:rsidR="003B1BB3" w:rsidRPr="00232D1D">
        <w:rPr>
          <w:rFonts w:ascii="Times New Roman" w:hAnsi="Times New Roman" w:cs="Times New Roman"/>
          <w:sz w:val="24"/>
          <w:szCs w:val="24"/>
        </w:rPr>
        <w:t xml:space="preserve">of ECCOG’s AAA in addressing sustainable home and </w:t>
      </w:r>
      <w:r w:rsidR="004607A5" w:rsidRPr="00232D1D">
        <w:rPr>
          <w:rFonts w:ascii="Times New Roman" w:hAnsi="Times New Roman" w:cs="Times New Roman"/>
          <w:sz w:val="24"/>
          <w:szCs w:val="24"/>
        </w:rPr>
        <w:t>community-based</w:t>
      </w:r>
      <w:r w:rsidR="003B1BB3" w:rsidRPr="00232D1D">
        <w:rPr>
          <w:rFonts w:ascii="Times New Roman" w:hAnsi="Times New Roman" w:cs="Times New Roman"/>
          <w:sz w:val="24"/>
          <w:szCs w:val="24"/>
        </w:rPr>
        <w:t xml:space="preserve"> services</w:t>
      </w:r>
      <w:r w:rsidR="006131F2" w:rsidRPr="00232D1D">
        <w:rPr>
          <w:rFonts w:ascii="Times New Roman" w:hAnsi="Times New Roman" w:cs="Times New Roman"/>
          <w:sz w:val="24"/>
          <w:szCs w:val="24"/>
        </w:rPr>
        <w:t>.</w:t>
      </w:r>
      <w:r w:rsidR="001F4764" w:rsidRPr="00232D1D">
        <w:rPr>
          <w:rFonts w:ascii="Times New Roman" w:hAnsi="Times New Roman" w:cs="Times New Roman"/>
          <w:sz w:val="24"/>
          <w:szCs w:val="24"/>
        </w:rPr>
        <w:t xml:space="preserve"> </w:t>
      </w:r>
      <w:r w:rsidR="004607A5" w:rsidRPr="00232D1D">
        <w:rPr>
          <w:rFonts w:ascii="Times New Roman" w:hAnsi="Times New Roman" w:cs="Times New Roman"/>
          <w:sz w:val="24"/>
          <w:szCs w:val="24"/>
        </w:rPr>
        <w:t xml:space="preserve">ECCOG </w:t>
      </w:r>
      <w:r w:rsidR="001F4764" w:rsidRPr="00232D1D">
        <w:rPr>
          <w:rFonts w:ascii="Times New Roman" w:hAnsi="Times New Roman" w:cs="Times New Roman"/>
          <w:sz w:val="24"/>
          <w:szCs w:val="24"/>
        </w:rPr>
        <w:t xml:space="preserve">programs </w:t>
      </w:r>
      <w:r w:rsidR="00895E82" w:rsidRPr="00232D1D">
        <w:rPr>
          <w:rFonts w:ascii="Times New Roman" w:hAnsi="Times New Roman" w:cs="Times New Roman"/>
          <w:sz w:val="24"/>
          <w:szCs w:val="24"/>
        </w:rPr>
        <w:t xml:space="preserve">help older adults remain </w:t>
      </w:r>
      <w:r w:rsidR="00B06B1F" w:rsidRPr="00232D1D">
        <w:rPr>
          <w:rFonts w:ascii="Times New Roman" w:hAnsi="Times New Roman" w:cs="Times New Roman"/>
          <w:sz w:val="24"/>
          <w:szCs w:val="24"/>
        </w:rPr>
        <w:t xml:space="preserve">at home, </w:t>
      </w:r>
      <w:r w:rsidR="00895E82" w:rsidRPr="00232D1D">
        <w:rPr>
          <w:rFonts w:ascii="Times New Roman" w:hAnsi="Times New Roman" w:cs="Times New Roman"/>
          <w:sz w:val="24"/>
          <w:szCs w:val="24"/>
        </w:rPr>
        <w:t>independent,</w:t>
      </w:r>
      <w:r w:rsidR="00B06B1F" w:rsidRPr="00232D1D">
        <w:rPr>
          <w:rFonts w:ascii="Times New Roman" w:hAnsi="Times New Roman" w:cs="Times New Roman"/>
          <w:sz w:val="24"/>
          <w:szCs w:val="24"/>
        </w:rPr>
        <w:t xml:space="preserve"> </w:t>
      </w:r>
      <w:r w:rsidR="00AD119B" w:rsidRPr="00232D1D">
        <w:rPr>
          <w:rFonts w:ascii="Times New Roman" w:hAnsi="Times New Roman" w:cs="Times New Roman"/>
          <w:sz w:val="24"/>
          <w:szCs w:val="24"/>
        </w:rPr>
        <w:t>enjoy good</w:t>
      </w:r>
      <w:r w:rsidR="00010644" w:rsidRPr="00232D1D">
        <w:rPr>
          <w:rFonts w:ascii="Times New Roman" w:hAnsi="Times New Roman" w:cs="Times New Roman"/>
          <w:sz w:val="24"/>
          <w:szCs w:val="24"/>
        </w:rPr>
        <w:t xml:space="preserve"> </w:t>
      </w:r>
      <w:r w:rsidR="00895E82" w:rsidRPr="00232D1D">
        <w:rPr>
          <w:rFonts w:ascii="Times New Roman" w:hAnsi="Times New Roman" w:cs="Times New Roman"/>
          <w:sz w:val="24"/>
          <w:szCs w:val="24"/>
        </w:rPr>
        <w:t>health</w:t>
      </w:r>
      <w:r w:rsidR="00010644" w:rsidRPr="00232D1D">
        <w:rPr>
          <w:rFonts w:ascii="Times New Roman" w:hAnsi="Times New Roman" w:cs="Times New Roman"/>
          <w:sz w:val="24"/>
          <w:szCs w:val="24"/>
        </w:rPr>
        <w:t xml:space="preserve"> and quality of life</w:t>
      </w:r>
      <w:r w:rsidR="00AD119B" w:rsidRPr="00232D1D">
        <w:rPr>
          <w:rFonts w:ascii="Times New Roman" w:hAnsi="Times New Roman" w:cs="Times New Roman"/>
          <w:sz w:val="24"/>
          <w:szCs w:val="24"/>
        </w:rPr>
        <w:t xml:space="preserve"> through </w:t>
      </w:r>
      <w:r w:rsidR="00895E82" w:rsidRPr="00232D1D">
        <w:rPr>
          <w:rFonts w:ascii="Times New Roman" w:hAnsi="Times New Roman" w:cs="Times New Roman"/>
          <w:sz w:val="24"/>
          <w:szCs w:val="24"/>
        </w:rPr>
        <w:t>contractual arrangements</w:t>
      </w:r>
      <w:r w:rsidR="00237A4C" w:rsidRPr="00232D1D">
        <w:rPr>
          <w:rFonts w:ascii="Times New Roman" w:hAnsi="Times New Roman" w:cs="Times New Roman"/>
          <w:sz w:val="24"/>
          <w:szCs w:val="24"/>
        </w:rPr>
        <w:t xml:space="preserve"> with other agencies</w:t>
      </w:r>
      <w:r w:rsidR="00AD119B" w:rsidRPr="00232D1D">
        <w:rPr>
          <w:rFonts w:ascii="Times New Roman" w:hAnsi="Times New Roman" w:cs="Times New Roman"/>
          <w:sz w:val="24"/>
          <w:szCs w:val="24"/>
        </w:rPr>
        <w:t>.</w:t>
      </w:r>
      <w:r w:rsidR="00945B35" w:rsidRPr="00232D1D">
        <w:rPr>
          <w:rFonts w:ascii="Times New Roman" w:hAnsi="Times New Roman" w:cs="Times New Roman"/>
          <w:sz w:val="24"/>
          <w:szCs w:val="24"/>
        </w:rPr>
        <w:t xml:space="preserve"> </w:t>
      </w:r>
      <w:r w:rsidR="00A91B08" w:rsidRPr="00232D1D">
        <w:rPr>
          <w:rFonts w:ascii="Times New Roman" w:hAnsi="Times New Roman" w:cs="Times New Roman"/>
          <w:sz w:val="24"/>
          <w:szCs w:val="24"/>
        </w:rPr>
        <w:t>T</w:t>
      </w:r>
      <w:r w:rsidR="00D17A23" w:rsidRPr="00232D1D">
        <w:rPr>
          <w:rFonts w:ascii="Times New Roman" w:hAnsi="Times New Roman" w:cs="Times New Roman"/>
          <w:sz w:val="24"/>
          <w:szCs w:val="24"/>
        </w:rPr>
        <w:t xml:space="preserve">he </w:t>
      </w:r>
      <w:r w:rsidR="00EC0664" w:rsidRPr="00232D1D">
        <w:rPr>
          <w:rFonts w:ascii="Times New Roman" w:hAnsi="Times New Roman" w:cs="Times New Roman"/>
          <w:sz w:val="24"/>
          <w:szCs w:val="24"/>
        </w:rPr>
        <w:t>OAA</w:t>
      </w:r>
      <w:r w:rsidR="00D17A23" w:rsidRPr="00232D1D">
        <w:rPr>
          <w:rFonts w:ascii="Times New Roman" w:hAnsi="Times New Roman" w:cs="Times New Roman"/>
          <w:sz w:val="24"/>
          <w:szCs w:val="24"/>
        </w:rPr>
        <w:t xml:space="preserve">, the </w:t>
      </w:r>
      <w:r w:rsidR="00EC0664" w:rsidRPr="00232D1D">
        <w:rPr>
          <w:rFonts w:ascii="Times New Roman" w:hAnsi="Times New Roman" w:cs="Times New Roman"/>
          <w:sz w:val="24"/>
          <w:szCs w:val="24"/>
        </w:rPr>
        <w:t>SFSS</w:t>
      </w:r>
      <w:r w:rsidR="00D17A23" w:rsidRPr="00232D1D">
        <w:rPr>
          <w:rFonts w:ascii="Times New Roman" w:hAnsi="Times New Roman" w:cs="Times New Roman"/>
          <w:sz w:val="24"/>
          <w:szCs w:val="24"/>
        </w:rPr>
        <w:t xml:space="preserve"> and other</w:t>
      </w:r>
      <w:r w:rsidR="002758A4" w:rsidRPr="00232D1D">
        <w:rPr>
          <w:rFonts w:ascii="Times New Roman" w:hAnsi="Times New Roman" w:cs="Times New Roman"/>
          <w:sz w:val="24"/>
          <w:szCs w:val="24"/>
        </w:rPr>
        <w:t xml:space="preserve"> funds (local, county, in-kind</w:t>
      </w:r>
      <w:r w:rsidR="00A91B08" w:rsidRPr="00232D1D">
        <w:rPr>
          <w:rFonts w:ascii="Times New Roman" w:hAnsi="Times New Roman" w:cs="Times New Roman"/>
          <w:sz w:val="24"/>
          <w:szCs w:val="24"/>
        </w:rPr>
        <w:t>,</w:t>
      </w:r>
      <w:r w:rsidR="002758A4" w:rsidRPr="00232D1D">
        <w:rPr>
          <w:rFonts w:ascii="Times New Roman" w:hAnsi="Times New Roman" w:cs="Times New Roman"/>
          <w:sz w:val="24"/>
          <w:szCs w:val="24"/>
        </w:rPr>
        <w:t xml:space="preserve"> etc.)</w:t>
      </w:r>
      <w:r w:rsidR="003049C6" w:rsidRPr="00232D1D">
        <w:rPr>
          <w:rFonts w:ascii="Times New Roman" w:hAnsi="Times New Roman" w:cs="Times New Roman"/>
          <w:sz w:val="24"/>
          <w:szCs w:val="24"/>
        </w:rPr>
        <w:t xml:space="preserve"> </w:t>
      </w:r>
      <w:r w:rsidR="0051382C" w:rsidRPr="00232D1D">
        <w:rPr>
          <w:rFonts w:ascii="Times New Roman" w:hAnsi="Times New Roman" w:cs="Times New Roman"/>
          <w:sz w:val="24"/>
          <w:szCs w:val="24"/>
        </w:rPr>
        <w:t xml:space="preserve">are used </w:t>
      </w:r>
      <w:r w:rsidR="003049C6" w:rsidRPr="00232D1D">
        <w:rPr>
          <w:rFonts w:ascii="Times New Roman" w:hAnsi="Times New Roman" w:cs="Times New Roman"/>
          <w:sz w:val="24"/>
          <w:szCs w:val="24"/>
        </w:rPr>
        <w:t>to administer, monitor</w:t>
      </w:r>
      <w:r w:rsidR="0051382C" w:rsidRPr="00232D1D">
        <w:rPr>
          <w:rFonts w:ascii="Times New Roman" w:hAnsi="Times New Roman" w:cs="Times New Roman"/>
          <w:sz w:val="24"/>
          <w:szCs w:val="24"/>
        </w:rPr>
        <w:t>,</w:t>
      </w:r>
      <w:r w:rsidR="003049C6" w:rsidRPr="00232D1D">
        <w:rPr>
          <w:rFonts w:ascii="Times New Roman" w:hAnsi="Times New Roman" w:cs="Times New Roman"/>
          <w:sz w:val="24"/>
          <w:szCs w:val="24"/>
        </w:rPr>
        <w:t xml:space="preserve"> and improve services and programs available across the region</w:t>
      </w:r>
      <w:r w:rsidR="007853A2" w:rsidRPr="00232D1D">
        <w:rPr>
          <w:rFonts w:ascii="Times New Roman" w:hAnsi="Times New Roman" w:cs="Times New Roman"/>
          <w:sz w:val="24"/>
          <w:szCs w:val="24"/>
        </w:rPr>
        <w:t>.</w:t>
      </w:r>
      <w:r w:rsidR="003049C6" w:rsidRPr="00232D1D">
        <w:rPr>
          <w:rFonts w:ascii="Times New Roman" w:hAnsi="Times New Roman" w:cs="Times New Roman"/>
          <w:sz w:val="24"/>
          <w:szCs w:val="24"/>
        </w:rPr>
        <w:t xml:space="preserve"> </w:t>
      </w:r>
    </w:p>
    <w:p w14:paraId="59E58D73" w14:textId="3634350A" w:rsidR="00485BA8" w:rsidRPr="00232D1D" w:rsidRDefault="00031905"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East Central </w:t>
      </w:r>
      <w:r w:rsidR="00292069" w:rsidRPr="00232D1D">
        <w:rPr>
          <w:rFonts w:ascii="Times New Roman" w:hAnsi="Times New Roman" w:cs="Times New Roman"/>
          <w:sz w:val="24"/>
          <w:szCs w:val="24"/>
        </w:rPr>
        <w:t xml:space="preserve">AAA </w:t>
      </w:r>
      <w:r w:rsidRPr="00232D1D">
        <w:rPr>
          <w:rFonts w:ascii="Times New Roman" w:hAnsi="Times New Roman" w:cs="Times New Roman"/>
          <w:sz w:val="24"/>
          <w:szCs w:val="24"/>
        </w:rPr>
        <w:t>serves</w:t>
      </w:r>
      <w:r w:rsidR="00292069" w:rsidRPr="00232D1D">
        <w:rPr>
          <w:rFonts w:ascii="Times New Roman" w:hAnsi="Times New Roman" w:cs="Times New Roman"/>
          <w:sz w:val="24"/>
          <w:szCs w:val="24"/>
        </w:rPr>
        <w:t xml:space="preserve"> as the </w:t>
      </w:r>
      <w:r w:rsidR="006F32EB" w:rsidRPr="00232D1D">
        <w:rPr>
          <w:rFonts w:ascii="Times New Roman" w:hAnsi="Times New Roman" w:cs="Times New Roman"/>
          <w:sz w:val="24"/>
          <w:szCs w:val="24"/>
        </w:rPr>
        <w:t>main focal point and lead</w:t>
      </w:r>
      <w:r w:rsidR="00A20539" w:rsidRPr="00232D1D">
        <w:rPr>
          <w:rFonts w:ascii="Times New Roman" w:hAnsi="Times New Roman" w:cs="Times New Roman"/>
          <w:sz w:val="24"/>
          <w:szCs w:val="24"/>
        </w:rPr>
        <w:t>ing</w:t>
      </w:r>
      <w:r w:rsidR="006F32EB" w:rsidRPr="00232D1D">
        <w:rPr>
          <w:rFonts w:ascii="Times New Roman" w:hAnsi="Times New Roman" w:cs="Times New Roman"/>
          <w:sz w:val="24"/>
          <w:szCs w:val="24"/>
        </w:rPr>
        <w:t xml:space="preserve"> advocate for aging issues in the planning and service area</w:t>
      </w:r>
      <w:r w:rsidR="00CD143A" w:rsidRPr="00232D1D">
        <w:rPr>
          <w:rFonts w:ascii="Times New Roman" w:hAnsi="Times New Roman" w:cs="Times New Roman"/>
          <w:sz w:val="24"/>
          <w:szCs w:val="24"/>
        </w:rPr>
        <w:t xml:space="preserve">. The primary goal of this AAA is to develop </w:t>
      </w:r>
      <w:r w:rsidR="00CB4AE7" w:rsidRPr="00232D1D">
        <w:rPr>
          <w:rFonts w:ascii="Times New Roman" w:hAnsi="Times New Roman" w:cs="Times New Roman"/>
          <w:sz w:val="24"/>
          <w:szCs w:val="24"/>
        </w:rPr>
        <w:t xml:space="preserve">and administer a comprehensive and coordinated system of programs and services for residents 60 and over. </w:t>
      </w:r>
    </w:p>
    <w:p w14:paraId="3F86C1EB" w14:textId="77777777" w:rsidR="00AE37C8" w:rsidRDefault="00AE37C8">
      <w:r>
        <w:br w:type="page"/>
      </w:r>
    </w:p>
    <w:p w14:paraId="113C262F" w14:textId="3A53E50C" w:rsidR="00485BA8" w:rsidRPr="007C5336" w:rsidRDefault="00485BA8" w:rsidP="00AE37C8">
      <w:pPr>
        <w:pStyle w:val="Heading2"/>
        <w:rPr>
          <w:rFonts w:ascii="Times New Roman" w:hAnsi="Times New Roman" w:cs="Times New Roman"/>
        </w:rPr>
      </w:pPr>
      <w:bookmarkStart w:id="1" w:name="_Toc130291143"/>
      <w:r w:rsidRPr="007C5336">
        <w:rPr>
          <w:rFonts w:ascii="Times New Roman" w:hAnsi="Times New Roman" w:cs="Times New Roman"/>
        </w:rPr>
        <w:lastRenderedPageBreak/>
        <w:t>MISSION STATEMENT:</w:t>
      </w:r>
      <w:bookmarkEnd w:id="1"/>
    </w:p>
    <w:p w14:paraId="76DD5EAD" w14:textId="01279D36" w:rsidR="00FE64EE" w:rsidRPr="007C5336" w:rsidRDefault="00485BA8" w:rsidP="00232D1D">
      <w:pPr>
        <w:jc w:val="both"/>
        <w:rPr>
          <w:rStyle w:val="IntenseEmphasis"/>
          <w:rFonts w:ascii="Times New Roman" w:hAnsi="Times New Roman" w:cs="Times New Roman"/>
          <w:sz w:val="28"/>
          <w:szCs w:val="28"/>
        </w:rPr>
      </w:pPr>
      <w:r w:rsidRPr="007C5336">
        <w:rPr>
          <w:rStyle w:val="IntenseEmphasis"/>
          <w:rFonts w:ascii="Times New Roman" w:hAnsi="Times New Roman" w:cs="Times New Roman"/>
          <w:sz w:val="28"/>
          <w:szCs w:val="28"/>
        </w:rPr>
        <w:t xml:space="preserve">To ensure that </w:t>
      </w:r>
      <w:r w:rsidR="00456B0F" w:rsidRPr="007C5336">
        <w:rPr>
          <w:rStyle w:val="IntenseEmphasis"/>
          <w:rFonts w:ascii="Times New Roman" w:hAnsi="Times New Roman" w:cs="Times New Roman"/>
          <w:sz w:val="28"/>
          <w:szCs w:val="28"/>
        </w:rPr>
        <w:t>supportive</w:t>
      </w:r>
      <w:r w:rsidR="00E84AA6" w:rsidRPr="007C5336">
        <w:rPr>
          <w:rStyle w:val="IntenseEmphasis"/>
          <w:rFonts w:ascii="Times New Roman" w:hAnsi="Times New Roman" w:cs="Times New Roman"/>
          <w:sz w:val="28"/>
          <w:szCs w:val="28"/>
        </w:rPr>
        <w:t xml:space="preserve"> services are available, </w:t>
      </w:r>
      <w:r w:rsidR="00E51D8D" w:rsidRPr="007C5336">
        <w:rPr>
          <w:rStyle w:val="IntenseEmphasis"/>
          <w:rFonts w:ascii="Times New Roman" w:hAnsi="Times New Roman" w:cs="Times New Roman"/>
          <w:sz w:val="28"/>
          <w:szCs w:val="28"/>
        </w:rPr>
        <w:t>accessible,</w:t>
      </w:r>
      <w:r w:rsidR="00E84AA6" w:rsidRPr="007C5336">
        <w:rPr>
          <w:rStyle w:val="IntenseEmphasis"/>
          <w:rFonts w:ascii="Times New Roman" w:hAnsi="Times New Roman" w:cs="Times New Roman"/>
          <w:sz w:val="28"/>
          <w:szCs w:val="28"/>
        </w:rPr>
        <w:t xml:space="preserve"> and utilized </w:t>
      </w:r>
      <w:r w:rsidR="006F4037" w:rsidRPr="007C5336">
        <w:rPr>
          <w:rStyle w:val="IntenseEmphasis"/>
          <w:rFonts w:ascii="Times New Roman" w:hAnsi="Times New Roman" w:cs="Times New Roman"/>
          <w:sz w:val="28"/>
          <w:szCs w:val="28"/>
        </w:rPr>
        <w:t>by the older adult populations of Cheyenne, Kit Carson, Lincoln</w:t>
      </w:r>
      <w:r w:rsidR="00F558D6" w:rsidRPr="007C5336">
        <w:rPr>
          <w:rStyle w:val="IntenseEmphasis"/>
          <w:rFonts w:ascii="Times New Roman" w:hAnsi="Times New Roman" w:cs="Times New Roman"/>
          <w:sz w:val="28"/>
          <w:szCs w:val="28"/>
        </w:rPr>
        <w:t>,</w:t>
      </w:r>
      <w:r w:rsidR="006F4037" w:rsidRPr="007C5336">
        <w:rPr>
          <w:rStyle w:val="IntenseEmphasis"/>
          <w:rFonts w:ascii="Times New Roman" w:hAnsi="Times New Roman" w:cs="Times New Roman"/>
          <w:sz w:val="28"/>
          <w:szCs w:val="28"/>
        </w:rPr>
        <w:t xml:space="preserve"> and Elbert counties, with focus on those in</w:t>
      </w:r>
      <w:r w:rsidR="00DA5D07" w:rsidRPr="007C5336">
        <w:rPr>
          <w:rStyle w:val="IntenseEmphasis"/>
          <w:rFonts w:ascii="Times New Roman" w:hAnsi="Times New Roman" w:cs="Times New Roman"/>
          <w:sz w:val="28"/>
          <w:szCs w:val="28"/>
        </w:rPr>
        <w:t xml:space="preserve">dividuals with </w:t>
      </w:r>
      <w:r w:rsidR="006F4037" w:rsidRPr="007C5336">
        <w:rPr>
          <w:rStyle w:val="IntenseEmphasis"/>
          <w:rFonts w:ascii="Times New Roman" w:hAnsi="Times New Roman" w:cs="Times New Roman"/>
          <w:sz w:val="28"/>
          <w:szCs w:val="28"/>
        </w:rPr>
        <w:t xml:space="preserve">the greatest social and </w:t>
      </w:r>
      <w:r w:rsidR="0049695C" w:rsidRPr="007C5336">
        <w:rPr>
          <w:rStyle w:val="IntenseEmphasis"/>
          <w:rFonts w:ascii="Times New Roman" w:hAnsi="Times New Roman" w:cs="Times New Roman"/>
          <w:sz w:val="28"/>
          <w:szCs w:val="28"/>
        </w:rPr>
        <w:t>economic need.</w:t>
      </w:r>
      <w:r w:rsidR="007E461C" w:rsidRPr="007C5336">
        <w:rPr>
          <w:rStyle w:val="IntenseEmphasis"/>
          <w:rFonts w:ascii="Times New Roman" w:hAnsi="Times New Roman" w:cs="Times New Roman"/>
          <w:sz w:val="28"/>
          <w:szCs w:val="28"/>
        </w:rPr>
        <w:t xml:space="preserve"> </w:t>
      </w:r>
    </w:p>
    <w:p w14:paraId="040D1CB3" w14:textId="4984E9F3" w:rsidR="00ED03DD" w:rsidRPr="00232D1D" w:rsidRDefault="00F279BA"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This mission will be achieved by </w:t>
      </w:r>
      <w:r w:rsidR="00653291" w:rsidRPr="00232D1D">
        <w:rPr>
          <w:rFonts w:ascii="Times New Roman" w:hAnsi="Times New Roman" w:cs="Times New Roman"/>
          <w:sz w:val="24"/>
          <w:szCs w:val="24"/>
        </w:rPr>
        <w:t xml:space="preserve">ECCOG </w:t>
      </w:r>
      <w:r w:rsidRPr="00232D1D">
        <w:rPr>
          <w:rFonts w:ascii="Times New Roman" w:hAnsi="Times New Roman" w:cs="Times New Roman"/>
          <w:sz w:val="24"/>
          <w:szCs w:val="24"/>
        </w:rPr>
        <w:t>partnering with local agencies and entities</w:t>
      </w:r>
      <w:r w:rsidR="00E1251A" w:rsidRPr="00232D1D">
        <w:rPr>
          <w:rFonts w:ascii="Times New Roman" w:hAnsi="Times New Roman" w:cs="Times New Roman"/>
          <w:sz w:val="24"/>
          <w:szCs w:val="24"/>
        </w:rPr>
        <w:t xml:space="preserve"> who contractually provide services or programs that ECCOG itself cannot provide directly</w:t>
      </w:r>
      <w:r w:rsidR="00653291" w:rsidRPr="00232D1D">
        <w:rPr>
          <w:rFonts w:ascii="Times New Roman" w:hAnsi="Times New Roman" w:cs="Times New Roman"/>
          <w:sz w:val="24"/>
          <w:szCs w:val="24"/>
        </w:rPr>
        <w:t xml:space="preserve">. These programs, services and </w:t>
      </w:r>
      <w:r w:rsidR="00336B5D" w:rsidRPr="00232D1D">
        <w:rPr>
          <w:rFonts w:ascii="Times New Roman" w:hAnsi="Times New Roman" w:cs="Times New Roman"/>
          <w:sz w:val="24"/>
          <w:szCs w:val="24"/>
        </w:rPr>
        <w:t xml:space="preserve">partners </w:t>
      </w:r>
      <w:r w:rsidR="00C01427">
        <w:rPr>
          <w:rFonts w:ascii="Times New Roman" w:hAnsi="Times New Roman" w:cs="Times New Roman"/>
          <w:sz w:val="24"/>
          <w:szCs w:val="24"/>
        </w:rPr>
        <w:t xml:space="preserve">work collaboratively </w:t>
      </w:r>
      <w:r w:rsidR="000C124A">
        <w:rPr>
          <w:rFonts w:ascii="Times New Roman" w:hAnsi="Times New Roman" w:cs="Times New Roman"/>
          <w:sz w:val="24"/>
          <w:szCs w:val="24"/>
        </w:rPr>
        <w:t>to continue to</w:t>
      </w:r>
      <w:r w:rsidR="00C01427">
        <w:rPr>
          <w:rFonts w:ascii="Times New Roman" w:hAnsi="Times New Roman" w:cs="Times New Roman"/>
          <w:sz w:val="24"/>
          <w:szCs w:val="24"/>
        </w:rPr>
        <w:t xml:space="preserve"> </w:t>
      </w:r>
      <w:r w:rsidR="000C124A">
        <w:rPr>
          <w:rFonts w:ascii="Times New Roman" w:hAnsi="Times New Roman" w:cs="Times New Roman"/>
          <w:sz w:val="24"/>
          <w:szCs w:val="24"/>
        </w:rPr>
        <w:t>enable</w:t>
      </w:r>
      <w:r w:rsidR="00336B5D" w:rsidRPr="00232D1D">
        <w:rPr>
          <w:rFonts w:ascii="Times New Roman" w:hAnsi="Times New Roman" w:cs="Times New Roman"/>
          <w:sz w:val="24"/>
          <w:szCs w:val="24"/>
        </w:rPr>
        <w:t xml:space="preserve"> </w:t>
      </w:r>
      <w:r w:rsidR="006202C6" w:rsidRPr="00232D1D">
        <w:rPr>
          <w:rFonts w:ascii="Times New Roman" w:hAnsi="Times New Roman" w:cs="Times New Roman"/>
          <w:sz w:val="24"/>
          <w:szCs w:val="24"/>
        </w:rPr>
        <w:t xml:space="preserve">older adults </w:t>
      </w:r>
      <w:r w:rsidR="00F558D6">
        <w:rPr>
          <w:rFonts w:ascii="Times New Roman" w:hAnsi="Times New Roman" w:cs="Times New Roman"/>
          <w:sz w:val="24"/>
          <w:szCs w:val="24"/>
        </w:rPr>
        <w:t>re</w:t>
      </w:r>
      <w:r w:rsidR="006202C6" w:rsidRPr="007C5336">
        <w:rPr>
          <w:rFonts w:ascii="Times New Roman" w:hAnsi="Times New Roman" w:cs="Times New Roman"/>
          <w:sz w:val="24"/>
          <w:szCs w:val="24"/>
        </w:rPr>
        <w:t xml:space="preserve">main </w:t>
      </w:r>
      <w:r w:rsidR="00F558D6">
        <w:rPr>
          <w:rFonts w:ascii="Times New Roman" w:hAnsi="Times New Roman" w:cs="Times New Roman"/>
          <w:sz w:val="24"/>
          <w:szCs w:val="24"/>
        </w:rPr>
        <w:t>independent</w:t>
      </w:r>
      <w:r w:rsidR="006202C6" w:rsidRPr="007C5336">
        <w:rPr>
          <w:rFonts w:ascii="Times New Roman" w:hAnsi="Times New Roman" w:cs="Times New Roman"/>
          <w:sz w:val="24"/>
          <w:szCs w:val="24"/>
        </w:rPr>
        <w:t>, health</w:t>
      </w:r>
      <w:r w:rsidR="00F558D6">
        <w:rPr>
          <w:rFonts w:ascii="Times New Roman" w:hAnsi="Times New Roman" w:cs="Times New Roman"/>
          <w:sz w:val="24"/>
          <w:szCs w:val="24"/>
        </w:rPr>
        <w:t>y</w:t>
      </w:r>
      <w:r w:rsidR="006202C6" w:rsidRPr="00232D1D">
        <w:rPr>
          <w:rFonts w:ascii="Times New Roman" w:hAnsi="Times New Roman" w:cs="Times New Roman"/>
          <w:sz w:val="24"/>
          <w:szCs w:val="24"/>
        </w:rPr>
        <w:t xml:space="preserve">, and </w:t>
      </w:r>
      <w:r w:rsidR="00F558D6">
        <w:rPr>
          <w:rFonts w:ascii="Times New Roman" w:hAnsi="Times New Roman" w:cs="Times New Roman"/>
          <w:sz w:val="24"/>
          <w:szCs w:val="24"/>
        </w:rPr>
        <w:t xml:space="preserve">have a high </w:t>
      </w:r>
      <w:r w:rsidR="006202C6" w:rsidRPr="00232D1D">
        <w:rPr>
          <w:rFonts w:ascii="Times New Roman" w:hAnsi="Times New Roman" w:cs="Times New Roman"/>
          <w:sz w:val="24"/>
          <w:szCs w:val="24"/>
        </w:rPr>
        <w:t>quality of life, as long as possible.</w:t>
      </w:r>
    </w:p>
    <w:p w14:paraId="6C5EB555" w14:textId="370AB9C6" w:rsidR="007E461C" w:rsidRPr="00232D1D" w:rsidRDefault="00ED03DD"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Every four years, the AAA is required to develop an Area Plan that focuses on </w:t>
      </w:r>
      <w:r w:rsidR="0089654F" w:rsidRPr="00232D1D">
        <w:rPr>
          <w:rFonts w:ascii="Times New Roman" w:hAnsi="Times New Roman" w:cs="Times New Roman"/>
          <w:sz w:val="24"/>
          <w:szCs w:val="24"/>
        </w:rPr>
        <w:t>activities, services, and programs</w:t>
      </w:r>
      <w:r w:rsidR="00502AAC" w:rsidRPr="00232D1D">
        <w:rPr>
          <w:rFonts w:ascii="Times New Roman" w:hAnsi="Times New Roman" w:cs="Times New Roman"/>
          <w:sz w:val="24"/>
          <w:szCs w:val="24"/>
        </w:rPr>
        <w:t>.</w:t>
      </w:r>
      <w:r w:rsidR="004F408C" w:rsidRPr="00232D1D">
        <w:rPr>
          <w:rFonts w:ascii="Times New Roman" w:hAnsi="Times New Roman" w:cs="Times New Roman"/>
          <w:sz w:val="24"/>
          <w:szCs w:val="24"/>
        </w:rPr>
        <w:t xml:space="preserve"> </w:t>
      </w:r>
      <w:r w:rsidR="00D960A9" w:rsidRPr="00232D1D">
        <w:rPr>
          <w:rFonts w:ascii="Times New Roman" w:hAnsi="Times New Roman" w:cs="Times New Roman"/>
          <w:sz w:val="24"/>
          <w:szCs w:val="24"/>
        </w:rPr>
        <w:t xml:space="preserve">The AAA will also provide technical assistance to </w:t>
      </w:r>
      <w:r w:rsidR="00836497" w:rsidRPr="00232D1D">
        <w:rPr>
          <w:rFonts w:ascii="Times New Roman" w:hAnsi="Times New Roman" w:cs="Times New Roman"/>
          <w:sz w:val="24"/>
          <w:szCs w:val="24"/>
        </w:rPr>
        <w:t>out</w:t>
      </w:r>
      <w:r w:rsidR="00CB7ABE" w:rsidRPr="00232D1D">
        <w:rPr>
          <w:rFonts w:ascii="Times New Roman" w:hAnsi="Times New Roman" w:cs="Times New Roman"/>
          <w:sz w:val="24"/>
          <w:szCs w:val="24"/>
        </w:rPr>
        <w:t>side</w:t>
      </w:r>
      <w:r w:rsidR="00D960A9" w:rsidRPr="00232D1D">
        <w:rPr>
          <w:rFonts w:ascii="Times New Roman" w:hAnsi="Times New Roman" w:cs="Times New Roman"/>
          <w:sz w:val="24"/>
          <w:szCs w:val="24"/>
        </w:rPr>
        <w:t xml:space="preserve"> agencies or civic organizations</w:t>
      </w:r>
      <w:r w:rsidR="00CB7ABE" w:rsidRPr="00232D1D">
        <w:rPr>
          <w:rFonts w:ascii="Times New Roman" w:hAnsi="Times New Roman" w:cs="Times New Roman"/>
          <w:sz w:val="24"/>
          <w:szCs w:val="24"/>
        </w:rPr>
        <w:t xml:space="preserve">. </w:t>
      </w:r>
      <w:r w:rsidR="00594F5D" w:rsidRPr="00232D1D">
        <w:rPr>
          <w:rFonts w:ascii="Times New Roman" w:hAnsi="Times New Roman" w:cs="Times New Roman"/>
          <w:sz w:val="24"/>
          <w:szCs w:val="24"/>
        </w:rPr>
        <w:t>C</w:t>
      </w:r>
      <w:r w:rsidR="00D960A9" w:rsidRPr="00232D1D">
        <w:rPr>
          <w:rFonts w:ascii="Times New Roman" w:hAnsi="Times New Roman" w:cs="Times New Roman"/>
          <w:sz w:val="24"/>
          <w:szCs w:val="24"/>
        </w:rPr>
        <w:t>ontin</w:t>
      </w:r>
      <w:r w:rsidR="00011FE3" w:rsidRPr="00232D1D">
        <w:rPr>
          <w:rFonts w:ascii="Times New Roman" w:hAnsi="Times New Roman" w:cs="Times New Roman"/>
          <w:sz w:val="24"/>
          <w:szCs w:val="24"/>
        </w:rPr>
        <w:t>uing to develop educational me</w:t>
      </w:r>
      <w:r w:rsidR="00301B86" w:rsidRPr="00232D1D">
        <w:rPr>
          <w:rFonts w:ascii="Times New Roman" w:hAnsi="Times New Roman" w:cs="Times New Roman"/>
          <w:sz w:val="24"/>
          <w:szCs w:val="24"/>
        </w:rPr>
        <w:t>thods</w:t>
      </w:r>
      <w:r w:rsidR="00011FE3" w:rsidRPr="00232D1D">
        <w:rPr>
          <w:rFonts w:ascii="Times New Roman" w:hAnsi="Times New Roman" w:cs="Times New Roman"/>
          <w:sz w:val="24"/>
          <w:szCs w:val="24"/>
        </w:rPr>
        <w:t xml:space="preserve"> to increase community awareness of the AAA and the </w:t>
      </w:r>
      <w:r w:rsidR="00AE37C8" w:rsidRPr="00232D1D">
        <w:rPr>
          <w:rFonts w:ascii="Times New Roman" w:hAnsi="Times New Roman" w:cs="Times New Roman"/>
          <w:sz w:val="24"/>
          <w:szCs w:val="24"/>
        </w:rPr>
        <w:t>services or programs offered</w:t>
      </w:r>
      <w:r w:rsidR="00594F5D" w:rsidRPr="00232D1D">
        <w:rPr>
          <w:rFonts w:ascii="Times New Roman" w:hAnsi="Times New Roman" w:cs="Times New Roman"/>
          <w:sz w:val="24"/>
          <w:szCs w:val="24"/>
        </w:rPr>
        <w:t xml:space="preserve"> is </w:t>
      </w:r>
      <w:r w:rsidR="00A21902" w:rsidRPr="00232D1D">
        <w:rPr>
          <w:rFonts w:ascii="Times New Roman" w:hAnsi="Times New Roman" w:cs="Times New Roman"/>
          <w:sz w:val="24"/>
          <w:szCs w:val="24"/>
        </w:rPr>
        <w:t>a standard practice</w:t>
      </w:r>
      <w:r w:rsidR="00AE37C8" w:rsidRPr="00232D1D">
        <w:rPr>
          <w:rFonts w:ascii="Times New Roman" w:hAnsi="Times New Roman" w:cs="Times New Roman"/>
          <w:sz w:val="24"/>
          <w:szCs w:val="24"/>
        </w:rPr>
        <w:t>.</w:t>
      </w:r>
    </w:p>
    <w:p w14:paraId="3C147BB8" w14:textId="78DB245F" w:rsidR="0097389C" w:rsidRDefault="0097389C">
      <w:r>
        <w:br w:type="page"/>
      </w:r>
    </w:p>
    <w:p w14:paraId="0A0F4B3F" w14:textId="089356D6" w:rsidR="0097389C" w:rsidRPr="00C8254C" w:rsidRDefault="0097389C" w:rsidP="0097389C">
      <w:pPr>
        <w:pStyle w:val="Heading1"/>
        <w:rPr>
          <w:rFonts w:ascii="Times New Roman" w:hAnsi="Times New Roman" w:cs="Times New Roman"/>
        </w:rPr>
      </w:pPr>
      <w:bookmarkStart w:id="2" w:name="_Toc130291144"/>
      <w:r w:rsidRPr="00C8254C">
        <w:rPr>
          <w:rFonts w:ascii="Times New Roman" w:hAnsi="Times New Roman" w:cs="Times New Roman"/>
        </w:rPr>
        <w:lastRenderedPageBreak/>
        <w:t>Section I: Executive Summary</w:t>
      </w:r>
      <w:bookmarkEnd w:id="2"/>
    </w:p>
    <w:p w14:paraId="0C23E618" w14:textId="004B9EA1" w:rsidR="005529CF" w:rsidRPr="00232D1D" w:rsidRDefault="004D4C06" w:rsidP="00232D1D">
      <w:p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East Central AAA</w:t>
      </w:r>
      <w:r w:rsidR="005529CF" w:rsidRPr="00232D1D">
        <w:rPr>
          <w:rStyle w:val="Strong"/>
          <w:rFonts w:ascii="Times New Roman" w:hAnsi="Times New Roman" w:cs="Times New Roman"/>
          <w:b w:val="0"/>
          <w:bCs w:val="0"/>
          <w:sz w:val="24"/>
          <w:szCs w:val="24"/>
        </w:rPr>
        <w:t xml:space="preserve"> will make every effort to review its current service delivery system</w:t>
      </w:r>
      <w:r w:rsidR="00D56D7D" w:rsidRPr="00232D1D">
        <w:rPr>
          <w:rStyle w:val="Strong"/>
          <w:rFonts w:ascii="Times New Roman" w:hAnsi="Times New Roman" w:cs="Times New Roman"/>
          <w:b w:val="0"/>
          <w:bCs w:val="0"/>
          <w:sz w:val="24"/>
          <w:szCs w:val="24"/>
        </w:rPr>
        <w:t>s</w:t>
      </w:r>
      <w:r w:rsidR="005529CF" w:rsidRPr="00232D1D">
        <w:rPr>
          <w:rStyle w:val="Strong"/>
          <w:rFonts w:ascii="Times New Roman" w:hAnsi="Times New Roman" w:cs="Times New Roman"/>
          <w:b w:val="0"/>
          <w:bCs w:val="0"/>
          <w:sz w:val="24"/>
          <w:szCs w:val="24"/>
        </w:rPr>
        <w:t xml:space="preserve"> and implement changes </w:t>
      </w:r>
      <w:r w:rsidR="00D56D7D" w:rsidRPr="00232D1D">
        <w:rPr>
          <w:rStyle w:val="Strong"/>
          <w:rFonts w:ascii="Times New Roman" w:hAnsi="Times New Roman" w:cs="Times New Roman"/>
          <w:b w:val="0"/>
          <w:bCs w:val="0"/>
          <w:sz w:val="24"/>
          <w:szCs w:val="24"/>
        </w:rPr>
        <w:t>as needed</w:t>
      </w:r>
      <w:r w:rsidR="00440DCD" w:rsidRPr="00232D1D">
        <w:rPr>
          <w:rStyle w:val="Strong"/>
          <w:rFonts w:ascii="Times New Roman" w:hAnsi="Times New Roman" w:cs="Times New Roman"/>
          <w:b w:val="0"/>
          <w:bCs w:val="0"/>
          <w:sz w:val="24"/>
          <w:szCs w:val="24"/>
        </w:rPr>
        <w:t xml:space="preserve">. </w:t>
      </w:r>
      <w:r w:rsidR="005529CF" w:rsidRPr="00232D1D">
        <w:rPr>
          <w:rStyle w:val="Strong"/>
          <w:rFonts w:ascii="Times New Roman" w:hAnsi="Times New Roman" w:cs="Times New Roman"/>
          <w:b w:val="0"/>
          <w:bCs w:val="0"/>
          <w:sz w:val="24"/>
          <w:szCs w:val="24"/>
        </w:rPr>
        <w:t xml:space="preserve">In the past several </w:t>
      </w:r>
      <w:r w:rsidR="00BA4E5B" w:rsidRPr="00232D1D">
        <w:rPr>
          <w:rStyle w:val="Strong"/>
          <w:rFonts w:ascii="Times New Roman" w:hAnsi="Times New Roman" w:cs="Times New Roman"/>
          <w:b w:val="0"/>
          <w:bCs w:val="0"/>
          <w:sz w:val="24"/>
          <w:szCs w:val="24"/>
        </w:rPr>
        <w:t>years, the</w:t>
      </w:r>
      <w:r w:rsidR="00250249" w:rsidRPr="00232D1D">
        <w:rPr>
          <w:rStyle w:val="Strong"/>
          <w:rFonts w:ascii="Times New Roman" w:hAnsi="Times New Roman" w:cs="Times New Roman"/>
          <w:b w:val="0"/>
          <w:bCs w:val="0"/>
          <w:sz w:val="24"/>
          <w:szCs w:val="24"/>
        </w:rPr>
        <w:t xml:space="preserve"> levels of service </w:t>
      </w:r>
      <w:r w:rsidR="000E650C" w:rsidRPr="00232D1D">
        <w:rPr>
          <w:rStyle w:val="Strong"/>
          <w:rFonts w:ascii="Times New Roman" w:hAnsi="Times New Roman" w:cs="Times New Roman"/>
          <w:b w:val="0"/>
          <w:bCs w:val="0"/>
          <w:sz w:val="24"/>
          <w:szCs w:val="24"/>
        </w:rPr>
        <w:t xml:space="preserve">to </w:t>
      </w:r>
      <w:r w:rsidR="00250249" w:rsidRPr="00232D1D">
        <w:rPr>
          <w:rStyle w:val="Strong"/>
          <w:rFonts w:ascii="Times New Roman" w:hAnsi="Times New Roman" w:cs="Times New Roman"/>
          <w:b w:val="0"/>
          <w:bCs w:val="0"/>
          <w:sz w:val="24"/>
          <w:szCs w:val="24"/>
        </w:rPr>
        <w:t xml:space="preserve">unduplicated clients for registered services </w:t>
      </w:r>
      <w:r w:rsidR="0026527D" w:rsidRPr="00232D1D">
        <w:rPr>
          <w:rStyle w:val="Strong"/>
          <w:rFonts w:ascii="Times New Roman" w:hAnsi="Times New Roman" w:cs="Times New Roman"/>
          <w:b w:val="0"/>
          <w:bCs w:val="0"/>
          <w:sz w:val="24"/>
          <w:szCs w:val="24"/>
        </w:rPr>
        <w:t xml:space="preserve">has </w:t>
      </w:r>
      <w:r w:rsidR="00250249" w:rsidRPr="00232D1D">
        <w:rPr>
          <w:rStyle w:val="Strong"/>
          <w:rFonts w:ascii="Times New Roman" w:hAnsi="Times New Roman" w:cs="Times New Roman"/>
          <w:b w:val="0"/>
          <w:bCs w:val="0"/>
          <w:sz w:val="24"/>
          <w:szCs w:val="24"/>
        </w:rPr>
        <w:t>decreased</w:t>
      </w:r>
      <w:r w:rsidR="0085614C" w:rsidRPr="00232D1D">
        <w:rPr>
          <w:rStyle w:val="Strong"/>
          <w:rFonts w:ascii="Times New Roman" w:hAnsi="Times New Roman" w:cs="Times New Roman"/>
          <w:b w:val="0"/>
          <w:bCs w:val="0"/>
          <w:sz w:val="24"/>
          <w:szCs w:val="24"/>
        </w:rPr>
        <w:t>.</w:t>
      </w:r>
      <w:r w:rsidR="00250249" w:rsidRPr="00232D1D">
        <w:rPr>
          <w:rStyle w:val="Strong"/>
          <w:rFonts w:ascii="Times New Roman" w:hAnsi="Times New Roman" w:cs="Times New Roman"/>
          <w:b w:val="0"/>
          <w:bCs w:val="0"/>
          <w:sz w:val="24"/>
          <w:szCs w:val="24"/>
        </w:rPr>
        <w:t xml:space="preserve"> </w:t>
      </w:r>
      <w:r w:rsidR="0085614C" w:rsidRPr="00232D1D">
        <w:rPr>
          <w:rStyle w:val="Strong"/>
          <w:rFonts w:ascii="Times New Roman" w:hAnsi="Times New Roman" w:cs="Times New Roman"/>
          <w:b w:val="0"/>
          <w:bCs w:val="0"/>
          <w:sz w:val="24"/>
          <w:szCs w:val="24"/>
        </w:rPr>
        <w:t>H</w:t>
      </w:r>
      <w:r w:rsidR="00250249" w:rsidRPr="00232D1D">
        <w:rPr>
          <w:rStyle w:val="Strong"/>
          <w:rFonts w:ascii="Times New Roman" w:hAnsi="Times New Roman" w:cs="Times New Roman"/>
          <w:b w:val="0"/>
          <w:bCs w:val="0"/>
          <w:sz w:val="24"/>
          <w:szCs w:val="24"/>
        </w:rPr>
        <w:t>o</w:t>
      </w:r>
      <w:r w:rsidR="00F01466" w:rsidRPr="00232D1D">
        <w:rPr>
          <w:rStyle w:val="Strong"/>
          <w:rFonts w:ascii="Times New Roman" w:hAnsi="Times New Roman" w:cs="Times New Roman"/>
          <w:b w:val="0"/>
          <w:bCs w:val="0"/>
          <w:sz w:val="24"/>
          <w:szCs w:val="24"/>
        </w:rPr>
        <w:t xml:space="preserve">wever, the agency </w:t>
      </w:r>
      <w:r w:rsidR="0026527D" w:rsidRPr="00232D1D">
        <w:rPr>
          <w:rStyle w:val="Strong"/>
          <w:rFonts w:ascii="Times New Roman" w:hAnsi="Times New Roman" w:cs="Times New Roman"/>
          <w:b w:val="0"/>
          <w:bCs w:val="0"/>
          <w:sz w:val="24"/>
          <w:szCs w:val="24"/>
        </w:rPr>
        <w:t>works</w:t>
      </w:r>
      <w:r w:rsidR="00F01466" w:rsidRPr="00232D1D">
        <w:rPr>
          <w:rStyle w:val="Strong"/>
          <w:rFonts w:ascii="Times New Roman" w:hAnsi="Times New Roman" w:cs="Times New Roman"/>
          <w:b w:val="0"/>
          <w:bCs w:val="0"/>
          <w:sz w:val="24"/>
          <w:szCs w:val="24"/>
        </w:rPr>
        <w:t xml:space="preserve"> to attract the “young” older </w:t>
      </w:r>
      <w:r w:rsidR="000F678E" w:rsidRPr="00232D1D">
        <w:rPr>
          <w:rStyle w:val="Strong"/>
          <w:rFonts w:ascii="Times New Roman" w:hAnsi="Times New Roman" w:cs="Times New Roman"/>
          <w:b w:val="0"/>
          <w:bCs w:val="0"/>
          <w:sz w:val="24"/>
          <w:szCs w:val="24"/>
        </w:rPr>
        <w:t>adults</w:t>
      </w:r>
      <w:r w:rsidR="00F01466" w:rsidRPr="00232D1D">
        <w:rPr>
          <w:rStyle w:val="Strong"/>
          <w:rFonts w:ascii="Times New Roman" w:hAnsi="Times New Roman" w:cs="Times New Roman"/>
          <w:b w:val="0"/>
          <w:bCs w:val="0"/>
          <w:sz w:val="24"/>
          <w:szCs w:val="24"/>
        </w:rPr>
        <w:t xml:space="preserve"> </w:t>
      </w:r>
      <w:r w:rsidR="00743E2A" w:rsidRPr="00232D1D">
        <w:rPr>
          <w:rStyle w:val="Strong"/>
          <w:rFonts w:ascii="Times New Roman" w:hAnsi="Times New Roman" w:cs="Times New Roman"/>
          <w:b w:val="0"/>
          <w:bCs w:val="0"/>
          <w:sz w:val="24"/>
          <w:szCs w:val="24"/>
        </w:rPr>
        <w:t>and recently</w:t>
      </w:r>
      <w:r w:rsidR="00534ABA" w:rsidRPr="00232D1D">
        <w:rPr>
          <w:rStyle w:val="Strong"/>
          <w:rFonts w:ascii="Times New Roman" w:hAnsi="Times New Roman" w:cs="Times New Roman"/>
          <w:b w:val="0"/>
          <w:bCs w:val="0"/>
          <w:sz w:val="24"/>
          <w:szCs w:val="24"/>
        </w:rPr>
        <w:t xml:space="preserve"> retired individuals</w:t>
      </w:r>
      <w:r w:rsidR="00F038AF" w:rsidRPr="00232D1D">
        <w:rPr>
          <w:rStyle w:val="Strong"/>
          <w:rFonts w:ascii="Times New Roman" w:hAnsi="Times New Roman" w:cs="Times New Roman"/>
          <w:b w:val="0"/>
          <w:bCs w:val="0"/>
          <w:sz w:val="24"/>
          <w:szCs w:val="24"/>
        </w:rPr>
        <w:t xml:space="preserve"> </w:t>
      </w:r>
      <w:r w:rsidR="00534ABA" w:rsidRPr="00232D1D">
        <w:rPr>
          <w:rStyle w:val="Strong"/>
          <w:rFonts w:ascii="Times New Roman" w:hAnsi="Times New Roman" w:cs="Times New Roman"/>
          <w:b w:val="0"/>
          <w:bCs w:val="0"/>
          <w:sz w:val="24"/>
          <w:szCs w:val="24"/>
        </w:rPr>
        <w:t xml:space="preserve">to participate. </w:t>
      </w:r>
      <w:r w:rsidR="008F07E4" w:rsidRPr="00232D1D">
        <w:rPr>
          <w:rStyle w:val="Strong"/>
          <w:rFonts w:ascii="Times New Roman" w:hAnsi="Times New Roman" w:cs="Times New Roman"/>
          <w:b w:val="0"/>
          <w:bCs w:val="0"/>
          <w:sz w:val="24"/>
          <w:szCs w:val="24"/>
        </w:rPr>
        <w:t xml:space="preserve">Since social media </w:t>
      </w:r>
      <w:r w:rsidR="00F14864" w:rsidRPr="00232D1D">
        <w:rPr>
          <w:rStyle w:val="Strong"/>
          <w:rFonts w:ascii="Times New Roman" w:hAnsi="Times New Roman" w:cs="Times New Roman"/>
          <w:b w:val="0"/>
          <w:bCs w:val="0"/>
          <w:sz w:val="24"/>
          <w:szCs w:val="24"/>
        </w:rPr>
        <w:t>marketing was added</w:t>
      </w:r>
      <w:r w:rsidR="00246C43" w:rsidRPr="00232D1D">
        <w:rPr>
          <w:rStyle w:val="Strong"/>
          <w:rFonts w:ascii="Times New Roman" w:hAnsi="Times New Roman" w:cs="Times New Roman"/>
          <w:b w:val="0"/>
          <w:bCs w:val="0"/>
          <w:sz w:val="24"/>
          <w:szCs w:val="24"/>
        </w:rPr>
        <w:t xml:space="preserve"> in 2019,</w:t>
      </w:r>
      <w:r w:rsidR="00BA4E5B" w:rsidRPr="00232D1D">
        <w:rPr>
          <w:rStyle w:val="Strong"/>
          <w:rFonts w:ascii="Times New Roman" w:hAnsi="Times New Roman" w:cs="Times New Roman"/>
          <w:b w:val="0"/>
          <w:bCs w:val="0"/>
          <w:sz w:val="24"/>
          <w:szCs w:val="24"/>
        </w:rPr>
        <w:t xml:space="preserve"> </w:t>
      </w:r>
      <w:r w:rsidR="00DD62E8" w:rsidRPr="00232D1D">
        <w:rPr>
          <w:rStyle w:val="Strong"/>
          <w:rFonts w:ascii="Times New Roman" w:hAnsi="Times New Roman" w:cs="Times New Roman"/>
          <w:b w:val="0"/>
          <w:bCs w:val="0"/>
          <w:sz w:val="24"/>
          <w:szCs w:val="24"/>
        </w:rPr>
        <w:t xml:space="preserve">the promotion </w:t>
      </w:r>
      <w:r w:rsidR="00F46672" w:rsidRPr="00232D1D">
        <w:rPr>
          <w:rStyle w:val="Strong"/>
          <w:rFonts w:ascii="Times New Roman" w:hAnsi="Times New Roman" w:cs="Times New Roman"/>
          <w:b w:val="0"/>
          <w:bCs w:val="0"/>
          <w:sz w:val="24"/>
          <w:szCs w:val="24"/>
        </w:rPr>
        <w:t>to residents has been minimal but a renewed effort is underway in 2023</w:t>
      </w:r>
      <w:r w:rsidR="00BA4E5B" w:rsidRPr="00232D1D">
        <w:rPr>
          <w:rStyle w:val="Strong"/>
          <w:rFonts w:ascii="Times New Roman" w:hAnsi="Times New Roman" w:cs="Times New Roman"/>
          <w:b w:val="0"/>
          <w:bCs w:val="0"/>
          <w:sz w:val="24"/>
          <w:szCs w:val="24"/>
        </w:rPr>
        <w:t xml:space="preserve">. </w:t>
      </w:r>
      <w:r w:rsidR="001E3DE5" w:rsidRPr="00232D1D">
        <w:rPr>
          <w:rStyle w:val="Strong"/>
          <w:rFonts w:ascii="Times New Roman" w:hAnsi="Times New Roman" w:cs="Times New Roman"/>
          <w:b w:val="0"/>
          <w:bCs w:val="0"/>
          <w:sz w:val="24"/>
          <w:szCs w:val="24"/>
        </w:rPr>
        <w:t>ECCOG advertise</w:t>
      </w:r>
      <w:r w:rsidR="00C1537C" w:rsidRPr="00232D1D">
        <w:rPr>
          <w:rStyle w:val="Strong"/>
          <w:rFonts w:ascii="Times New Roman" w:hAnsi="Times New Roman" w:cs="Times New Roman"/>
          <w:b w:val="0"/>
          <w:bCs w:val="0"/>
          <w:sz w:val="24"/>
          <w:szCs w:val="24"/>
        </w:rPr>
        <w:t>s</w:t>
      </w:r>
      <w:r w:rsidR="001E3DE5" w:rsidRPr="00232D1D">
        <w:rPr>
          <w:rStyle w:val="Strong"/>
          <w:rFonts w:ascii="Times New Roman" w:hAnsi="Times New Roman" w:cs="Times New Roman"/>
          <w:b w:val="0"/>
          <w:bCs w:val="0"/>
          <w:sz w:val="24"/>
          <w:szCs w:val="24"/>
        </w:rPr>
        <w:t xml:space="preserve"> </w:t>
      </w:r>
      <w:r w:rsidR="003E204B" w:rsidRPr="00232D1D">
        <w:rPr>
          <w:rStyle w:val="Strong"/>
          <w:rFonts w:ascii="Times New Roman" w:hAnsi="Times New Roman" w:cs="Times New Roman"/>
          <w:b w:val="0"/>
          <w:bCs w:val="0"/>
          <w:sz w:val="24"/>
          <w:szCs w:val="24"/>
        </w:rPr>
        <w:t xml:space="preserve">in local newspapers, </w:t>
      </w:r>
      <w:r w:rsidR="00A305AB" w:rsidRPr="00232D1D">
        <w:rPr>
          <w:rStyle w:val="Strong"/>
          <w:rFonts w:ascii="Times New Roman" w:hAnsi="Times New Roman" w:cs="Times New Roman"/>
          <w:b w:val="0"/>
          <w:bCs w:val="0"/>
          <w:sz w:val="24"/>
          <w:szCs w:val="24"/>
        </w:rPr>
        <w:t xml:space="preserve">radio </w:t>
      </w:r>
      <w:r w:rsidR="00C91B2B" w:rsidRPr="00232D1D">
        <w:rPr>
          <w:rStyle w:val="Strong"/>
          <w:rFonts w:ascii="Times New Roman" w:hAnsi="Times New Roman" w:cs="Times New Roman"/>
          <w:b w:val="0"/>
          <w:bCs w:val="0"/>
          <w:sz w:val="24"/>
          <w:szCs w:val="24"/>
        </w:rPr>
        <w:t>PSAs</w:t>
      </w:r>
      <w:r w:rsidR="00A305AB" w:rsidRPr="00232D1D">
        <w:rPr>
          <w:rStyle w:val="Strong"/>
          <w:rFonts w:ascii="Times New Roman" w:hAnsi="Times New Roman" w:cs="Times New Roman"/>
          <w:b w:val="0"/>
          <w:bCs w:val="0"/>
          <w:sz w:val="24"/>
          <w:szCs w:val="24"/>
        </w:rPr>
        <w:t>,</w:t>
      </w:r>
      <w:r w:rsidR="009F3966" w:rsidRPr="00232D1D">
        <w:rPr>
          <w:rStyle w:val="Strong"/>
          <w:rFonts w:ascii="Times New Roman" w:hAnsi="Times New Roman" w:cs="Times New Roman"/>
          <w:b w:val="0"/>
          <w:bCs w:val="0"/>
          <w:sz w:val="24"/>
          <w:szCs w:val="24"/>
        </w:rPr>
        <w:t xml:space="preserve"> movie</w:t>
      </w:r>
      <w:r w:rsidR="00A305AB" w:rsidRPr="00232D1D">
        <w:rPr>
          <w:rStyle w:val="Strong"/>
          <w:rFonts w:ascii="Times New Roman" w:hAnsi="Times New Roman" w:cs="Times New Roman"/>
          <w:b w:val="0"/>
          <w:bCs w:val="0"/>
          <w:sz w:val="24"/>
          <w:szCs w:val="24"/>
        </w:rPr>
        <w:t xml:space="preserve"> </w:t>
      </w:r>
      <w:r w:rsidR="00C1537C" w:rsidRPr="00232D1D">
        <w:rPr>
          <w:rStyle w:val="Strong"/>
          <w:rFonts w:ascii="Times New Roman" w:hAnsi="Times New Roman" w:cs="Times New Roman"/>
          <w:b w:val="0"/>
          <w:bCs w:val="0"/>
          <w:sz w:val="24"/>
          <w:szCs w:val="24"/>
        </w:rPr>
        <w:t>t</w:t>
      </w:r>
      <w:r w:rsidR="00A305AB" w:rsidRPr="00232D1D">
        <w:rPr>
          <w:rStyle w:val="Strong"/>
          <w:rFonts w:ascii="Times New Roman" w:hAnsi="Times New Roman" w:cs="Times New Roman"/>
          <w:b w:val="0"/>
          <w:bCs w:val="0"/>
          <w:sz w:val="24"/>
          <w:szCs w:val="24"/>
        </w:rPr>
        <w:t>heater previe</w:t>
      </w:r>
      <w:r w:rsidR="009F3966" w:rsidRPr="00232D1D">
        <w:rPr>
          <w:rStyle w:val="Strong"/>
          <w:rFonts w:ascii="Times New Roman" w:hAnsi="Times New Roman" w:cs="Times New Roman"/>
          <w:b w:val="0"/>
          <w:bCs w:val="0"/>
          <w:sz w:val="24"/>
          <w:szCs w:val="24"/>
        </w:rPr>
        <w:t>w</w:t>
      </w:r>
      <w:r w:rsidR="00A305AB" w:rsidRPr="00232D1D">
        <w:rPr>
          <w:rStyle w:val="Strong"/>
          <w:rFonts w:ascii="Times New Roman" w:hAnsi="Times New Roman" w:cs="Times New Roman"/>
          <w:b w:val="0"/>
          <w:bCs w:val="0"/>
          <w:sz w:val="24"/>
          <w:szCs w:val="24"/>
        </w:rPr>
        <w:t xml:space="preserve">s, </w:t>
      </w:r>
      <w:r w:rsidR="00BA04E2" w:rsidRPr="00232D1D">
        <w:rPr>
          <w:rStyle w:val="Strong"/>
          <w:rFonts w:ascii="Times New Roman" w:hAnsi="Times New Roman" w:cs="Times New Roman"/>
          <w:b w:val="0"/>
          <w:bCs w:val="0"/>
          <w:sz w:val="24"/>
          <w:szCs w:val="24"/>
        </w:rPr>
        <w:t xml:space="preserve">and </w:t>
      </w:r>
      <w:r w:rsidR="00A305AB" w:rsidRPr="00232D1D">
        <w:rPr>
          <w:rStyle w:val="Strong"/>
          <w:rFonts w:ascii="Times New Roman" w:hAnsi="Times New Roman" w:cs="Times New Roman"/>
          <w:b w:val="0"/>
          <w:bCs w:val="0"/>
          <w:sz w:val="24"/>
          <w:szCs w:val="24"/>
        </w:rPr>
        <w:t>updat</w:t>
      </w:r>
      <w:r w:rsidR="009F3966" w:rsidRPr="00232D1D">
        <w:rPr>
          <w:rStyle w:val="Strong"/>
          <w:rFonts w:ascii="Times New Roman" w:hAnsi="Times New Roman" w:cs="Times New Roman"/>
          <w:b w:val="0"/>
          <w:bCs w:val="0"/>
          <w:sz w:val="24"/>
          <w:szCs w:val="24"/>
        </w:rPr>
        <w:t>ed</w:t>
      </w:r>
      <w:r w:rsidR="00AD4C65" w:rsidRPr="00232D1D">
        <w:rPr>
          <w:rStyle w:val="Strong"/>
          <w:rFonts w:ascii="Times New Roman" w:hAnsi="Times New Roman" w:cs="Times New Roman"/>
          <w:b w:val="0"/>
          <w:bCs w:val="0"/>
          <w:sz w:val="24"/>
          <w:szCs w:val="24"/>
        </w:rPr>
        <w:t xml:space="preserve"> brochures </w:t>
      </w:r>
      <w:r w:rsidR="00B22F5E" w:rsidRPr="00232D1D">
        <w:rPr>
          <w:rStyle w:val="Strong"/>
          <w:rFonts w:ascii="Times New Roman" w:hAnsi="Times New Roman" w:cs="Times New Roman"/>
          <w:b w:val="0"/>
          <w:bCs w:val="0"/>
          <w:sz w:val="24"/>
          <w:szCs w:val="24"/>
        </w:rPr>
        <w:t xml:space="preserve">to increase awareness of our service and program offerings. </w:t>
      </w:r>
    </w:p>
    <w:p w14:paraId="06EA499D" w14:textId="5D9EF422" w:rsidR="00493285" w:rsidRPr="00232D1D" w:rsidRDefault="00F925BE" w:rsidP="00232D1D">
      <w:p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Our</w:t>
      </w:r>
      <w:r w:rsidR="00493285" w:rsidRPr="00232D1D">
        <w:rPr>
          <w:rStyle w:val="Strong"/>
          <w:rFonts w:ascii="Times New Roman" w:hAnsi="Times New Roman" w:cs="Times New Roman"/>
          <w:b w:val="0"/>
          <w:bCs w:val="0"/>
          <w:sz w:val="24"/>
          <w:szCs w:val="24"/>
        </w:rPr>
        <w:t xml:space="preserve"> HelpMATE program (material assistance)</w:t>
      </w:r>
      <w:r w:rsidR="00D5465E" w:rsidRPr="00232D1D">
        <w:rPr>
          <w:rStyle w:val="Strong"/>
          <w:rFonts w:ascii="Times New Roman" w:hAnsi="Times New Roman" w:cs="Times New Roman"/>
          <w:b w:val="0"/>
          <w:bCs w:val="0"/>
          <w:sz w:val="24"/>
          <w:szCs w:val="24"/>
        </w:rPr>
        <w:t xml:space="preserve"> </w:t>
      </w:r>
      <w:r w:rsidR="00BA04E2" w:rsidRPr="00232D1D">
        <w:rPr>
          <w:rStyle w:val="Strong"/>
          <w:rFonts w:ascii="Times New Roman" w:hAnsi="Times New Roman" w:cs="Times New Roman"/>
          <w:b w:val="0"/>
          <w:bCs w:val="0"/>
          <w:sz w:val="24"/>
          <w:szCs w:val="24"/>
        </w:rPr>
        <w:t>remains</w:t>
      </w:r>
      <w:r w:rsidR="00D5465E" w:rsidRPr="00232D1D">
        <w:rPr>
          <w:rStyle w:val="Strong"/>
          <w:rFonts w:ascii="Times New Roman" w:hAnsi="Times New Roman" w:cs="Times New Roman"/>
          <w:b w:val="0"/>
          <w:bCs w:val="0"/>
          <w:sz w:val="24"/>
          <w:szCs w:val="24"/>
        </w:rPr>
        <w:t xml:space="preserve"> an </w:t>
      </w:r>
      <w:r w:rsidRPr="00232D1D">
        <w:rPr>
          <w:rStyle w:val="Strong"/>
          <w:rFonts w:ascii="Times New Roman" w:hAnsi="Times New Roman" w:cs="Times New Roman"/>
          <w:b w:val="0"/>
          <w:bCs w:val="0"/>
          <w:sz w:val="24"/>
          <w:szCs w:val="24"/>
        </w:rPr>
        <w:t>integral</w:t>
      </w:r>
      <w:r w:rsidR="00D5465E" w:rsidRPr="00232D1D">
        <w:rPr>
          <w:rStyle w:val="Strong"/>
          <w:rFonts w:ascii="Times New Roman" w:hAnsi="Times New Roman" w:cs="Times New Roman"/>
          <w:b w:val="0"/>
          <w:bCs w:val="0"/>
          <w:sz w:val="24"/>
          <w:szCs w:val="24"/>
        </w:rPr>
        <w:t xml:space="preserve"> </w:t>
      </w:r>
      <w:r w:rsidR="00C67D5B" w:rsidRPr="00232D1D">
        <w:rPr>
          <w:rStyle w:val="Strong"/>
          <w:rFonts w:ascii="Times New Roman" w:hAnsi="Times New Roman" w:cs="Times New Roman"/>
          <w:b w:val="0"/>
          <w:bCs w:val="0"/>
          <w:sz w:val="24"/>
          <w:szCs w:val="24"/>
        </w:rPr>
        <w:t xml:space="preserve">program </w:t>
      </w:r>
      <w:r w:rsidR="00CE3740" w:rsidRPr="00232D1D">
        <w:rPr>
          <w:rStyle w:val="Strong"/>
          <w:rFonts w:ascii="Times New Roman" w:hAnsi="Times New Roman" w:cs="Times New Roman"/>
          <w:b w:val="0"/>
          <w:bCs w:val="0"/>
          <w:sz w:val="24"/>
          <w:szCs w:val="24"/>
        </w:rPr>
        <w:t>for</w:t>
      </w:r>
      <w:r w:rsidR="00D5465E" w:rsidRPr="00232D1D">
        <w:rPr>
          <w:rStyle w:val="Strong"/>
          <w:rFonts w:ascii="Times New Roman" w:hAnsi="Times New Roman" w:cs="Times New Roman"/>
          <w:b w:val="0"/>
          <w:bCs w:val="0"/>
          <w:sz w:val="24"/>
          <w:szCs w:val="24"/>
        </w:rPr>
        <w:t xml:space="preserve"> our older adults</w:t>
      </w:r>
      <w:r w:rsidR="004B5C16" w:rsidRPr="00232D1D">
        <w:rPr>
          <w:rStyle w:val="Strong"/>
          <w:rFonts w:ascii="Times New Roman" w:hAnsi="Times New Roman" w:cs="Times New Roman"/>
          <w:b w:val="0"/>
          <w:bCs w:val="0"/>
          <w:sz w:val="24"/>
          <w:szCs w:val="24"/>
        </w:rPr>
        <w:t xml:space="preserve"> </w:t>
      </w:r>
      <w:r w:rsidR="00CE3740" w:rsidRPr="00232D1D">
        <w:rPr>
          <w:rStyle w:val="Strong"/>
          <w:rFonts w:ascii="Times New Roman" w:hAnsi="Times New Roman" w:cs="Times New Roman"/>
          <w:b w:val="0"/>
          <w:bCs w:val="0"/>
          <w:sz w:val="24"/>
          <w:szCs w:val="24"/>
        </w:rPr>
        <w:t xml:space="preserve">who </w:t>
      </w:r>
      <w:r w:rsidR="004B5C16" w:rsidRPr="00232D1D">
        <w:rPr>
          <w:rStyle w:val="Strong"/>
          <w:rFonts w:ascii="Times New Roman" w:hAnsi="Times New Roman" w:cs="Times New Roman"/>
          <w:b w:val="0"/>
          <w:bCs w:val="0"/>
          <w:sz w:val="24"/>
          <w:szCs w:val="24"/>
        </w:rPr>
        <w:t xml:space="preserve">find it hard to pay for essential </w:t>
      </w:r>
      <w:r w:rsidR="00C31AC1" w:rsidRPr="00232D1D">
        <w:rPr>
          <w:rStyle w:val="Strong"/>
          <w:rFonts w:ascii="Times New Roman" w:hAnsi="Times New Roman" w:cs="Times New Roman"/>
          <w:b w:val="0"/>
          <w:bCs w:val="0"/>
          <w:sz w:val="24"/>
          <w:szCs w:val="24"/>
        </w:rPr>
        <w:t xml:space="preserve">goods or </w:t>
      </w:r>
      <w:r w:rsidR="004B5C16" w:rsidRPr="00232D1D">
        <w:rPr>
          <w:rStyle w:val="Strong"/>
          <w:rFonts w:ascii="Times New Roman" w:hAnsi="Times New Roman" w:cs="Times New Roman"/>
          <w:b w:val="0"/>
          <w:bCs w:val="0"/>
          <w:sz w:val="24"/>
          <w:szCs w:val="24"/>
        </w:rPr>
        <w:t>services</w:t>
      </w:r>
      <w:r w:rsidR="00E226AE" w:rsidRPr="00232D1D">
        <w:rPr>
          <w:rStyle w:val="Strong"/>
          <w:rFonts w:ascii="Times New Roman" w:hAnsi="Times New Roman" w:cs="Times New Roman"/>
          <w:b w:val="0"/>
          <w:bCs w:val="0"/>
          <w:sz w:val="24"/>
          <w:szCs w:val="24"/>
        </w:rPr>
        <w:t xml:space="preserve"> that improve their quality of life. </w:t>
      </w:r>
      <w:r w:rsidR="00BE0CA7" w:rsidRPr="00232D1D">
        <w:rPr>
          <w:rStyle w:val="Strong"/>
          <w:rFonts w:ascii="Times New Roman" w:hAnsi="Times New Roman" w:cs="Times New Roman"/>
          <w:b w:val="0"/>
          <w:bCs w:val="0"/>
          <w:sz w:val="24"/>
          <w:szCs w:val="24"/>
        </w:rPr>
        <w:t>Go</w:t>
      </w:r>
      <w:r w:rsidR="004F11C1" w:rsidRPr="00232D1D">
        <w:rPr>
          <w:rStyle w:val="Strong"/>
          <w:rFonts w:ascii="Times New Roman" w:hAnsi="Times New Roman" w:cs="Times New Roman"/>
          <w:b w:val="0"/>
          <w:bCs w:val="0"/>
          <w:sz w:val="24"/>
          <w:szCs w:val="24"/>
        </w:rPr>
        <w:t>ods</w:t>
      </w:r>
      <w:r w:rsidR="00C67D5B" w:rsidRPr="00232D1D">
        <w:rPr>
          <w:rStyle w:val="Strong"/>
          <w:rFonts w:ascii="Times New Roman" w:hAnsi="Times New Roman" w:cs="Times New Roman"/>
          <w:b w:val="0"/>
          <w:bCs w:val="0"/>
          <w:sz w:val="24"/>
          <w:szCs w:val="24"/>
        </w:rPr>
        <w:t xml:space="preserve"> </w:t>
      </w:r>
      <w:r w:rsidR="00797EEA" w:rsidRPr="00232D1D">
        <w:rPr>
          <w:rStyle w:val="Strong"/>
          <w:rFonts w:ascii="Times New Roman" w:hAnsi="Times New Roman" w:cs="Times New Roman"/>
          <w:b w:val="0"/>
          <w:bCs w:val="0"/>
          <w:sz w:val="24"/>
          <w:szCs w:val="24"/>
        </w:rPr>
        <w:t>include</w:t>
      </w:r>
      <w:r w:rsidR="00C67D5B" w:rsidRPr="00232D1D">
        <w:rPr>
          <w:rStyle w:val="Strong"/>
          <w:rFonts w:ascii="Times New Roman" w:hAnsi="Times New Roman" w:cs="Times New Roman"/>
          <w:b w:val="0"/>
          <w:bCs w:val="0"/>
          <w:sz w:val="24"/>
          <w:szCs w:val="24"/>
        </w:rPr>
        <w:t xml:space="preserve"> dentures, </w:t>
      </w:r>
      <w:r w:rsidR="00F83E87" w:rsidRPr="00232D1D">
        <w:rPr>
          <w:rStyle w:val="Strong"/>
          <w:rFonts w:ascii="Times New Roman" w:hAnsi="Times New Roman" w:cs="Times New Roman"/>
          <w:b w:val="0"/>
          <w:bCs w:val="0"/>
          <w:sz w:val="24"/>
          <w:szCs w:val="24"/>
        </w:rPr>
        <w:t xml:space="preserve">eyeglasses, hearing aids, mobility devices and related equipment, and other </w:t>
      </w:r>
      <w:r w:rsidR="008904D7" w:rsidRPr="00232D1D">
        <w:rPr>
          <w:rStyle w:val="Strong"/>
          <w:rFonts w:ascii="Times New Roman" w:hAnsi="Times New Roman" w:cs="Times New Roman"/>
          <w:b w:val="0"/>
          <w:bCs w:val="0"/>
          <w:sz w:val="24"/>
          <w:szCs w:val="24"/>
        </w:rPr>
        <w:t xml:space="preserve">in-home devices (EMS alert systems, </w:t>
      </w:r>
      <w:r w:rsidR="00466AD2" w:rsidRPr="00232D1D">
        <w:rPr>
          <w:rStyle w:val="Strong"/>
          <w:rFonts w:ascii="Times New Roman" w:hAnsi="Times New Roman" w:cs="Times New Roman"/>
          <w:b w:val="0"/>
          <w:bCs w:val="0"/>
          <w:sz w:val="24"/>
          <w:szCs w:val="24"/>
        </w:rPr>
        <w:t>c</w:t>
      </w:r>
      <w:r w:rsidR="008904D7" w:rsidRPr="00232D1D">
        <w:rPr>
          <w:rStyle w:val="Strong"/>
          <w:rFonts w:ascii="Times New Roman" w:hAnsi="Times New Roman" w:cs="Times New Roman"/>
          <w:b w:val="0"/>
          <w:bCs w:val="0"/>
          <w:sz w:val="24"/>
          <w:szCs w:val="24"/>
        </w:rPr>
        <w:t xml:space="preserve">arbon monoxide </w:t>
      </w:r>
      <w:r w:rsidR="0099644D" w:rsidRPr="00232D1D">
        <w:rPr>
          <w:rStyle w:val="Strong"/>
          <w:rFonts w:ascii="Times New Roman" w:hAnsi="Times New Roman" w:cs="Times New Roman"/>
          <w:b w:val="0"/>
          <w:bCs w:val="0"/>
          <w:sz w:val="24"/>
          <w:szCs w:val="24"/>
        </w:rPr>
        <w:t>&amp; smoke detectors</w:t>
      </w:r>
      <w:r w:rsidR="00CB3FFB" w:rsidRPr="00232D1D">
        <w:rPr>
          <w:rStyle w:val="Strong"/>
          <w:rFonts w:ascii="Times New Roman" w:hAnsi="Times New Roman" w:cs="Times New Roman"/>
          <w:b w:val="0"/>
          <w:bCs w:val="0"/>
          <w:sz w:val="24"/>
          <w:szCs w:val="24"/>
        </w:rPr>
        <w:t>, etc</w:t>
      </w:r>
      <w:r w:rsidR="000457E7" w:rsidRPr="00232D1D">
        <w:rPr>
          <w:rStyle w:val="Strong"/>
          <w:rFonts w:ascii="Times New Roman" w:hAnsi="Times New Roman" w:cs="Times New Roman"/>
          <w:b w:val="0"/>
          <w:bCs w:val="0"/>
          <w:sz w:val="24"/>
          <w:szCs w:val="24"/>
        </w:rPr>
        <w:t>.). These</w:t>
      </w:r>
      <w:r w:rsidR="00BE0CA7" w:rsidRPr="00232D1D">
        <w:rPr>
          <w:rStyle w:val="Strong"/>
          <w:rFonts w:ascii="Times New Roman" w:hAnsi="Times New Roman" w:cs="Times New Roman"/>
          <w:b w:val="0"/>
          <w:bCs w:val="0"/>
          <w:sz w:val="24"/>
          <w:szCs w:val="24"/>
        </w:rPr>
        <w:t xml:space="preserve"> services </w:t>
      </w:r>
      <w:r w:rsidR="000457E7" w:rsidRPr="00232D1D">
        <w:rPr>
          <w:rStyle w:val="Strong"/>
          <w:rFonts w:ascii="Times New Roman" w:hAnsi="Times New Roman" w:cs="Times New Roman"/>
          <w:b w:val="0"/>
          <w:bCs w:val="0"/>
          <w:sz w:val="24"/>
          <w:szCs w:val="24"/>
        </w:rPr>
        <w:t xml:space="preserve">are provided </w:t>
      </w:r>
      <w:r w:rsidR="00901FF9" w:rsidRPr="00232D1D">
        <w:rPr>
          <w:rStyle w:val="Strong"/>
          <w:rFonts w:ascii="Times New Roman" w:hAnsi="Times New Roman" w:cs="Times New Roman"/>
          <w:b w:val="0"/>
          <w:bCs w:val="0"/>
          <w:sz w:val="24"/>
          <w:szCs w:val="24"/>
        </w:rPr>
        <w:t>local</w:t>
      </w:r>
      <w:r w:rsidR="000457E7" w:rsidRPr="00232D1D">
        <w:rPr>
          <w:rStyle w:val="Strong"/>
          <w:rFonts w:ascii="Times New Roman" w:hAnsi="Times New Roman" w:cs="Times New Roman"/>
          <w:b w:val="0"/>
          <w:bCs w:val="0"/>
          <w:sz w:val="24"/>
          <w:szCs w:val="24"/>
        </w:rPr>
        <w:t xml:space="preserve">ly by </w:t>
      </w:r>
      <w:r w:rsidR="000C6A6F" w:rsidRPr="00232D1D">
        <w:rPr>
          <w:rStyle w:val="Strong"/>
          <w:rFonts w:ascii="Times New Roman" w:hAnsi="Times New Roman" w:cs="Times New Roman"/>
          <w:b w:val="0"/>
          <w:bCs w:val="0"/>
          <w:sz w:val="24"/>
          <w:szCs w:val="24"/>
        </w:rPr>
        <w:t xml:space="preserve">professionals who </w:t>
      </w:r>
      <w:r w:rsidR="00901FF9" w:rsidRPr="00232D1D">
        <w:rPr>
          <w:rStyle w:val="Strong"/>
          <w:rFonts w:ascii="Times New Roman" w:hAnsi="Times New Roman" w:cs="Times New Roman"/>
          <w:b w:val="0"/>
          <w:bCs w:val="0"/>
          <w:sz w:val="24"/>
          <w:szCs w:val="24"/>
        </w:rPr>
        <w:t xml:space="preserve">assess </w:t>
      </w:r>
      <w:r w:rsidR="000C6A6F" w:rsidRPr="00232D1D">
        <w:rPr>
          <w:rStyle w:val="Strong"/>
          <w:rFonts w:ascii="Times New Roman" w:hAnsi="Times New Roman" w:cs="Times New Roman"/>
          <w:b w:val="0"/>
          <w:bCs w:val="0"/>
          <w:sz w:val="24"/>
          <w:szCs w:val="24"/>
        </w:rPr>
        <w:t xml:space="preserve">and </w:t>
      </w:r>
      <w:r w:rsidR="00901FF9" w:rsidRPr="00232D1D">
        <w:rPr>
          <w:rStyle w:val="Strong"/>
          <w:rFonts w:ascii="Times New Roman" w:hAnsi="Times New Roman" w:cs="Times New Roman"/>
          <w:b w:val="0"/>
          <w:bCs w:val="0"/>
          <w:sz w:val="24"/>
          <w:szCs w:val="24"/>
        </w:rPr>
        <w:t>create tailored goods</w:t>
      </w:r>
      <w:r w:rsidR="000C6A6F" w:rsidRPr="00232D1D">
        <w:rPr>
          <w:rStyle w:val="Strong"/>
          <w:rFonts w:ascii="Times New Roman" w:hAnsi="Times New Roman" w:cs="Times New Roman"/>
          <w:b w:val="0"/>
          <w:bCs w:val="0"/>
          <w:sz w:val="24"/>
          <w:szCs w:val="24"/>
        </w:rPr>
        <w:t xml:space="preserve"> for</w:t>
      </w:r>
      <w:r w:rsidR="00901FF9" w:rsidRPr="00232D1D">
        <w:rPr>
          <w:rStyle w:val="Strong"/>
          <w:rFonts w:ascii="Times New Roman" w:hAnsi="Times New Roman" w:cs="Times New Roman"/>
          <w:b w:val="0"/>
          <w:bCs w:val="0"/>
          <w:sz w:val="24"/>
          <w:szCs w:val="24"/>
        </w:rPr>
        <w:t xml:space="preserve"> the individuals. Service</w:t>
      </w:r>
      <w:r w:rsidR="009A0DBD" w:rsidRPr="00232D1D">
        <w:rPr>
          <w:rStyle w:val="Strong"/>
          <w:rFonts w:ascii="Times New Roman" w:hAnsi="Times New Roman" w:cs="Times New Roman"/>
          <w:b w:val="0"/>
          <w:bCs w:val="0"/>
          <w:sz w:val="24"/>
          <w:szCs w:val="24"/>
        </w:rPr>
        <w:t>s</w:t>
      </w:r>
      <w:r w:rsidR="00901FF9" w:rsidRPr="00232D1D">
        <w:rPr>
          <w:rStyle w:val="Strong"/>
          <w:rFonts w:ascii="Times New Roman" w:hAnsi="Times New Roman" w:cs="Times New Roman"/>
          <w:b w:val="0"/>
          <w:bCs w:val="0"/>
          <w:sz w:val="24"/>
          <w:szCs w:val="24"/>
        </w:rPr>
        <w:t xml:space="preserve"> such as dental or eye examinations, </w:t>
      </w:r>
      <w:r w:rsidR="00FE15C3" w:rsidRPr="00232D1D">
        <w:rPr>
          <w:rStyle w:val="Strong"/>
          <w:rFonts w:ascii="Times New Roman" w:hAnsi="Times New Roman" w:cs="Times New Roman"/>
          <w:b w:val="0"/>
          <w:bCs w:val="0"/>
          <w:sz w:val="24"/>
          <w:szCs w:val="24"/>
        </w:rPr>
        <w:t>in-home assessments and evaluations determine</w:t>
      </w:r>
      <w:r w:rsidR="00902578" w:rsidRPr="00232D1D">
        <w:rPr>
          <w:rStyle w:val="Strong"/>
          <w:rFonts w:ascii="Times New Roman" w:hAnsi="Times New Roman" w:cs="Times New Roman"/>
          <w:b w:val="0"/>
          <w:bCs w:val="0"/>
          <w:sz w:val="24"/>
          <w:szCs w:val="24"/>
        </w:rPr>
        <w:t xml:space="preserve"> the</w:t>
      </w:r>
      <w:r w:rsidR="00FE15C3" w:rsidRPr="00232D1D">
        <w:rPr>
          <w:rStyle w:val="Strong"/>
          <w:rFonts w:ascii="Times New Roman" w:hAnsi="Times New Roman" w:cs="Times New Roman"/>
          <w:b w:val="0"/>
          <w:bCs w:val="0"/>
          <w:sz w:val="24"/>
          <w:szCs w:val="24"/>
        </w:rPr>
        <w:t xml:space="preserve"> best </w:t>
      </w:r>
      <w:r w:rsidR="00C54EEF" w:rsidRPr="00232D1D">
        <w:rPr>
          <w:rStyle w:val="Strong"/>
          <w:rFonts w:ascii="Times New Roman" w:hAnsi="Times New Roman" w:cs="Times New Roman"/>
          <w:b w:val="0"/>
          <w:bCs w:val="0"/>
          <w:sz w:val="24"/>
          <w:szCs w:val="24"/>
        </w:rPr>
        <w:t xml:space="preserve">solutions </w:t>
      </w:r>
      <w:r w:rsidR="004045BA" w:rsidRPr="00232D1D">
        <w:rPr>
          <w:rStyle w:val="Strong"/>
          <w:rFonts w:ascii="Times New Roman" w:hAnsi="Times New Roman" w:cs="Times New Roman"/>
          <w:b w:val="0"/>
          <w:bCs w:val="0"/>
          <w:sz w:val="24"/>
          <w:szCs w:val="24"/>
        </w:rPr>
        <w:t xml:space="preserve">or </w:t>
      </w:r>
      <w:r w:rsidR="00FE15C3" w:rsidRPr="00232D1D">
        <w:rPr>
          <w:rStyle w:val="Strong"/>
          <w:rFonts w:ascii="Times New Roman" w:hAnsi="Times New Roman" w:cs="Times New Roman"/>
          <w:b w:val="0"/>
          <w:bCs w:val="0"/>
          <w:sz w:val="24"/>
          <w:szCs w:val="24"/>
        </w:rPr>
        <w:t>modifications to</w:t>
      </w:r>
      <w:r w:rsidR="004045BA" w:rsidRPr="00232D1D">
        <w:rPr>
          <w:rStyle w:val="Strong"/>
          <w:rFonts w:ascii="Times New Roman" w:hAnsi="Times New Roman" w:cs="Times New Roman"/>
          <w:b w:val="0"/>
          <w:bCs w:val="0"/>
          <w:sz w:val="24"/>
          <w:szCs w:val="24"/>
        </w:rPr>
        <w:t xml:space="preserve"> the</w:t>
      </w:r>
      <w:r w:rsidR="00FE15C3" w:rsidRPr="00232D1D">
        <w:rPr>
          <w:rStyle w:val="Strong"/>
          <w:rFonts w:ascii="Times New Roman" w:hAnsi="Times New Roman" w:cs="Times New Roman"/>
          <w:b w:val="0"/>
          <w:bCs w:val="0"/>
          <w:sz w:val="24"/>
          <w:szCs w:val="24"/>
        </w:rPr>
        <w:t xml:space="preserve"> home</w:t>
      </w:r>
      <w:r w:rsidR="004045BA" w:rsidRPr="00232D1D">
        <w:rPr>
          <w:rStyle w:val="Strong"/>
          <w:rFonts w:ascii="Times New Roman" w:hAnsi="Times New Roman" w:cs="Times New Roman"/>
          <w:b w:val="0"/>
          <w:bCs w:val="0"/>
          <w:sz w:val="24"/>
          <w:szCs w:val="24"/>
        </w:rPr>
        <w:t xml:space="preserve">. These solutions </w:t>
      </w:r>
      <w:r w:rsidR="00FE15C3" w:rsidRPr="00232D1D">
        <w:rPr>
          <w:rStyle w:val="Strong"/>
          <w:rFonts w:ascii="Times New Roman" w:hAnsi="Times New Roman" w:cs="Times New Roman"/>
          <w:b w:val="0"/>
          <w:bCs w:val="0"/>
          <w:sz w:val="24"/>
          <w:szCs w:val="24"/>
        </w:rPr>
        <w:t>improv</w:t>
      </w:r>
      <w:r w:rsidR="004045BA" w:rsidRPr="00232D1D">
        <w:rPr>
          <w:rStyle w:val="Strong"/>
          <w:rFonts w:ascii="Times New Roman" w:hAnsi="Times New Roman" w:cs="Times New Roman"/>
          <w:b w:val="0"/>
          <w:bCs w:val="0"/>
          <w:sz w:val="24"/>
          <w:szCs w:val="24"/>
        </w:rPr>
        <w:t>e</w:t>
      </w:r>
      <w:r w:rsidR="00FE15C3" w:rsidRPr="00232D1D">
        <w:rPr>
          <w:rStyle w:val="Strong"/>
          <w:rFonts w:ascii="Times New Roman" w:hAnsi="Times New Roman" w:cs="Times New Roman"/>
          <w:b w:val="0"/>
          <w:bCs w:val="0"/>
          <w:sz w:val="24"/>
          <w:szCs w:val="24"/>
        </w:rPr>
        <w:t xml:space="preserve"> personal mobility and independence</w:t>
      </w:r>
      <w:r w:rsidR="00F23D5A" w:rsidRPr="00232D1D">
        <w:rPr>
          <w:rStyle w:val="Strong"/>
          <w:rFonts w:ascii="Times New Roman" w:hAnsi="Times New Roman" w:cs="Times New Roman"/>
          <w:b w:val="0"/>
          <w:bCs w:val="0"/>
          <w:sz w:val="24"/>
          <w:szCs w:val="24"/>
        </w:rPr>
        <w:t>, which allow older adults to continue to age in place</w:t>
      </w:r>
      <w:r w:rsidR="00FE15C3" w:rsidRPr="00232D1D">
        <w:rPr>
          <w:rStyle w:val="Strong"/>
          <w:rFonts w:ascii="Times New Roman" w:hAnsi="Times New Roman" w:cs="Times New Roman"/>
          <w:b w:val="0"/>
          <w:bCs w:val="0"/>
          <w:sz w:val="24"/>
          <w:szCs w:val="24"/>
        </w:rPr>
        <w:t xml:space="preserve">. </w:t>
      </w:r>
    </w:p>
    <w:p w14:paraId="2763BBF4" w14:textId="12F68678" w:rsidR="00476DD5" w:rsidRPr="00232D1D" w:rsidRDefault="0032636A" w:rsidP="00232D1D">
      <w:pPr>
        <w:tabs>
          <w:tab w:val="left" w:pos="3960"/>
        </w:tabs>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ECCOG’s staff </w:t>
      </w:r>
      <w:r w:rsidR="000867AB" w:rsidRPr="00232D1D">
        <w:rPr>
          <w:rStyle w:val="Strong"/>
          <w:rFonts w:ascii="Times New Roman" w:hAnsi="Times New Roman" w:cs="Times New Roman"/>
          <w:b w:val="0"/>
          <w:bCs w:val="0"/>
          <w:sz w:val="24"/>
          <w:szCs w:val="24"/>
        </w:rPr>
        <w:t>is</w:t>
      </w:r>
      <w:r w:rsidR="00E471AD" w:rsidRPr="00232D1D">
        <w:rPr>
          <w:rStyle w:val="Strong"/>
          <w:rFonts w:ascii="Times New Roman" w:hAnsi="Times New Roman" w:cs="Times New Roman"/>
          <w:b w:val="0"/>
          <w:bCs w:val="0"/>
          <w:sz w:val="24"/>
          <w:szCs w:val="24"/>
        </w:rPr>
        <w:t xml:space="preserve"> knowledgeable about the region</w:t>
      </w:r>
      <w:r w:rsidR="004077BA" w:rsidRPr="00232D1D">
        <w:rPr>
          <w:rStyle w:val="Strong"/>
          <w:rFonts w:ascii="Times New Roman" w:hAnsi="Times New Roman" w:cs="Times New Roman"/>
          <w:b w:val="0"/>
          <w:bCs w:val="0"/>
          <w:sz w:val="24"/>
          <w:szCs w:val="24"/>
        </w:rPr>
        <w:t xml:space="preserve">, </w:t>
      </w:r>
      <w:r w:rsidR="00E471AD" w:rsidRPr="00232D1D">
        <w:rPr>
          <w:rStyle w:val="Strong"/>
          <w:rFonts w:ascii="Times New Roman" w:hAnsi="Times New Roman" w:cs="Times New Roman"/>
          <w:b w:val="0"/>
          <w:bCs w:val="0"/>
          <w:sz w:val="24"/>
          <w:szCs w:val="24"/>
        </w:rPr>
        <w:t>the communities within</w:t>
      </w:r>
      <w:r w:rsidR="005D6E82" w:rsidRPr="00232D1D">
        <w:rPr>
          <w:rStyle w:val="Strong"/>
          <w:rFonts w:ascii="Times New Roman" w:hAnsi="Times New Roman" w:cs="Times New Roman"/>
          <w:b w:val="0"/>
          <w:bCs w:val="0"/>
          <w:sz w:val="24"/>
          <w:szCs w:val="24"/>
        </w:rPr>
        <w:t xml:space="preserve"> and</w:t>
      </w:r>
      <w:r w:rsidR="0085377F" w:rsidRPr="00232D1D">
        <w:rPr>
          <w:rStyle w:val="Strong"/>
          <w:rFonts w:ascii="Times New Roman" w:hAnsi="Times New Roman" w:cs="Times New Roman"/>
          <w:b w:val="0"/>
          <w:bCs w:val="0"/>
          <w:sz w:val="24"/>
          <w:szCs w:val="24"/>
        </w:rPr>
        <w:t xml:space="preserve"> the programs provide</w:t>
      </w:r>
      <w:r w:rsidR="003E1DB9" w:rsidRPr="00232D1D">
        <w:rPr>
          <w:rStyle w:val="Strong"/>
          <w:rFonts w:ascii="Times New Roman" w:hAnsi="Times New Roman" w:cs="Times New Roman"/>
          <w:b w:val="0"/>
          <w:bCs w:val="0"/>
          <w:sz w:val="24"/>
          <w:szCs w:val="24"/>
        </w:rPr>
        <w:t>d</w:t>
      </w:r>
      <w:r w:rsidR="005D6E82" w:rsidRPr="00232D1D">
        <w:rPr>
          <w:rStyle w:val="Strong"/>
          <w:rFonts w:ascii="Times New Roman" w:hAnsi="Times New Roman" w:cs="Times New Roman"/>
          <w:b w:val="0"/>
          <w:bCs w:val="0"/>
          <w:sz w:val="24"/>
          <w:szCs w:val="24"/>
        </w:rPr>
        <w:t xml:space="preserve">. </w:t>
      </w:r>
      <w:r w:rsidR="003E1DB9" w:rsidRPr="00232D1D">
        <w:rPr>
          <w:rStyle w:val="Strong"/>
          <w:rFonts w:ascii="Times New Roman" w:hAnsi="Times New Roman" w:cs="Times New Roman"/>
          <w:b w:val="0"/>
          <w:bCs w:val="0"/>
          <w:sz w:val="24"/>
          <w:szCs w:val="24"/>
        </w:rPr>
        <w:t xml:space="preserve">Our staff is </w:t>
      </w:r>
      <w:r w:rsidR="001421D0" w:rsidRPr="00232D1D">
        <w:rPr>
          <w:rStyle w:val="Strong"/>
          <w:rFonts w:ascii="Times New Roman" w:hAnsi="Times New Roman" w:cs="Times New Roman"/>
          <w:b w:val="0"/>
          <w:bCs w:val="0"/>
          <w:sz w:val="24"/>
          <w:szCs w:val="24"/>
        </w:rPr>
        <w:t xml:space="preserve">trusted by the communities </w:t>
      </w:r>
      <w:r w:rsidR="00C759ED" w:rsidRPr="00232D1D">
        <w:rPr>
          <w:rStyle w:val="Strong"/>
          <w:rFonts w:ascii="Times New Roman" w:hAnsi="Times New Roman" w:cs="Times New Roman"/>
          <w:b w:val="0"/>
          <w:bCs w:val="0"/>
          <w:sz w:val="24"/>
          <w:szCs w:val="24"/>
        </w:rPr>
        <w:t xml:space="preserve">because we possess 100 years of </w:t>
      </w:r>
      <w:r w:rsidR="001421D0" w:rsidRPr="00232D1D">
        <w:rPr>
          <w:rStyle w:val="Strong"/>
          <w:rFonts w:ascii="Times New Roman" w:hAnsi="Times New Roman" w:cs="Times New Roman"/>
          <w:b w:val="0"/>
          <w:bCs w:val="0"/>
          <w:sz w:val="24"/>
          <w:szCs w:val="24"/>
        </w:rPr>
        <w:t>program</w:t>
      </w:r>
      <w:r w:rsidR="00E40229" w:rsidRPr="00232D1D">
        <w:rPr>
          <w:rStyle w:val="Strong"/>
          <w:rFonts w:ascii="Times New Roman" w:hAnsi="Times New Roman" w:cs="Times New Roman"/>
          <w:b w:val="0"/>
          <w:bCs w:val="0"/>
          <w:sz w:val="24"/>
          <w:szCs w:val="24"/>
        </w:rPr>
        <w:t xml:space="preserve"> </w:t>
      </w:r>
      <w:r w:rsidR="001421D0" w:rsidRPr="00232D1D">
        <w:rPr>
          <w:rStyle w:val="Strong"/>
          <w:rFonts w:ascii="Times New Roman" w:hAnsi="Times New Roman" w:cs="Times New Roman"/>
          <w:b w:val="0"/>
          <w:bCs w:val="0"/>
          <w:sz w:val="24"/>
          <w:szCs w:val="24"/>
        </w:rPr>
        <w:t>and service</w:t>
      </w:r>
      <w:r w:rsidR="00C759ED" w:rsidRPr="00232D1D">
        <w:rPr>
          <w:rStyle w:val="Strong"/>
          <w:rFonts w:ascii="Times New Roman" w:hAnsi="Times New Roman" w:cs="Times New Roman"/>
          <w:b w:val="0"/>
          <w:bCs w:val="0"/>
          <w:sz w:val="24"/>
          <w:szCs w:val="24"/>
        </w:rPr>
        <w:t xml:space="preserve"> </w:t>
      </w:r>
      <w:r w:rsidR="00E40229" w:rsidRPr="00232D1D">
        <w:rPr>
          <w:rStyle w:val="Strong"/>
          <w:rFonts w:ascii="Times New Roman" w:hAnsi="Times New Roman" w:cs="Times New Roman"/>
          <w:b w:val="0"/>
          <w:bCs w:val="0"/>
          <w:sz w:val="24"/>
          <w:szCs w:val="24"/>
        </w:rPr>
        <w:t>experience.</w:t>
      </w:r>
      <w:r w:rsidR="00392C68" w:rsidRPr="00232D1D">
        <w:rPr>
          <w:rStyle w:val="Strong"/>
          <w:rFonts w:ascii="Times New Roman" w:hAnsi="Times New Roman" w:cs="Times New Roman"/>
          <w:b w:val="0"/>
          <w:bCs w:val="0"/>
          <w:sz w:val="24"/>
          <w:szCs w:val="24"/>
        </w:rPr>
        <w:t xml:space="preserve"> </w:t>
      </w:r>
      <w:r w:rsidR="00E40229" w:rsidRPr="00232D1D">
        <w:rPr>
          <w:rStyle w:val="Strong"/>
          <w:rFonts w:ascii="Times New Roman" w:hAnsi="Times New Roman" w:cs="Times New Roman"/>
          <w:b w:val="0"/>
          <w:bCs w:val="0"/>
          <w:sz w:val="24"/>
          <w:szCs w:val="24"/>
        </w:rPr>
        <w:t>Therefore</w:t>
      </w:r>
      <w:r w:rsidR="00A610D9" w:rsidRPr="00232D1D">
        <w:rPr>
          <w:rStyle w:val="Strong"/>
          <w:rFonts w:ascii="Times New Roman" w:hAnsi="Times New Roman" w:cs="Times New Roman"/>
          <w:b w:val="0"/>
          <w:bCs w:val="0"/>
          <w:sz w:val="24"/>
          <w:szCs w:val="24"/>
        </w:rPr>
        <w:t>,</w:t>
      </w:r>
      <w:r w:rsidR="00E40229" w:rsidRPr="00232D1D">
        <w:rPr>
          <w:rStyle w:val="Strong"/>
          <w:rFonts w:ascii="Times New Roman" w:hAnsi="Times New Roman" w:cs="Times New Roman"/>
          <w:b w:val="0"/>
          <w:bCs w:val="0"/>
          <w:sz w:val="24"/>
          <w:szCs w:val="24"/>
        </w:rPr>
        <w:t xml:space="preserve"> we can</w:t>
      </w:r>
      <w:r w:rsidR="00392C68" w:rsidRPr="00232D1D">
        <w:rPr>
          <w:rStyle w:val="Strong"/>
          <w:rFonts w:ascii="Times New Roman" w:hAnsi="Times New Roman" w:cs="Times New Roman"/>
          <w:b w:val="0"/>
          <w:bCs w:val="0"/>
          <w:sz w:val="24"/>
          <w:szCs w:val="24"/>
        </w:rPr>
        <w:t xml:space="preserve"> work towards </w:t>
      </w:r>
      <w:r w:rsidR="00DC5BDB" w:rsidRPr="00232D1D">
        <w:rPr>
          <w:rStyle w:val="Strong"/>
          <w:rFonts w:ascii="Times New Roman" w:hAnsi="Times New Roman" w:cs="Times New Roman"/>
          <w:b w:val="0"/>
          <w:bCs w:val="0"/>
          <w:sz w:val="24"/>
          <w:szCs w:val="24"/>
        </w:rPr>
        <w:t>improving existing programs and developing new services</w:t>
      </w:r>
      <w:r w:rsidR="001421D0" w:rsidRPr="00232D1D">
        <w:rPr>
          <w:rStyle w:val="Strong"/>
          <w:rFonts w:ascii="Times New Roman" w:hAnsi="Times New Roman" w:cs="Times New Roman"/>
          <w:b w:val="0"/>
          <w:bCs w:val="0"/>
          <w:sz w:val="24"/>
          <w:szCs w:val="24"/>
        </w:rPr>
        <w:t xml:space="preserve">. </w:t>
      </w:r>
      <w:r w:rsidR="00181C57" w:rsidRPr="00232D1D">
        <w:rPr>
          <w:rStyle w:val="Strong"/>
          <w:rFonts w:ascii="Times New Roman" w:hAnsi="Times New Roman" w:cs="Times New Roman"/>
          <w:b w:val="0"/>
          <w:bCs w:val="0"/>
          <w:sz w:val="24"/>
          <w:szCs w:val="24"/>
        </w:rPr>
        <w:t>Agency leadership continue</w:t>
      </w:r>
      <w:r w:rsidR="00CA3B02" w:rsidRPr="00232D1D">
        <w:rPr>
          <w:rStyle w:val="Strong"/>
          <w:rFonts w:ascii="Times New Roman" w:hAnsi="Times New Roman" w:cs="Times New Roman"/>
          <w:b w:val="0"/>
          <w:bCs w:val="0"/>
          <w:sz w:val="24"/>
          <w:szCs w:val="24"/>
        </w:rPr>
        <w:t>d</w:t>
      </w:r>
      <w:r w:rsidR="00181C57" w:rsidRPr="00232D1D">
        <w:rPr>
          <w:rStyle w:val="Strong"/>
          <w:rFonts w:ascii="Times New Roman" w:hAnsi="Times New Roman" w:cs="Times New Roman"/>
          <w:b w:val="0"/>
          <w:bCs w:val="0"/>
          <w:sz w:val="24"/>
          <w:szCs w:val="24"/>
        </w:rPr>
        <w:t xml:space="preserve"> </w:t>
      </w:r>
      <w:r w:rsidR="004236DB" w:rsidRPr="00232D1D">
        <w:rPr>
          <w:rStyle w:val="Strong"/>
          <w:rFonts w:ascii="Times New Roman" w:hAnsi="Times New Roman" w:cs="Times New Roman"/>
          <w:b w:val="0"/>
          <w:bCs w:val="0"/>
          <w:sz w:val="24"/>
          <w:szCs w:val="24"/>
        </w:rPr>
        <w:t xml:space="preserve">services and programs </w:t>
      </w:r>
      <w:r w:rsidR="00835E7C" w:rsidRPr="00232D1D">
        <w:rPr>
          <w:rStyle w:val="Strong"/>
          <w:rFonts w:ascii="Times New Roman" w:hAnsi="Times New Roman" w:cs="Times New Roman"/>
          <w:b w:val="0"/>
          <w:bCs w:val="0"/>
          <w:sz w:val="24"/>
          <w:szCs w:val="24"/>
        </w:rPr>
        <w:t xml:space="preserve">through the pandemic and </w:t>
      </w:r>
      <w:r w:rsidR="00885283" w:rsidRPr="00232D1D">
        <w:rPr>
          <w:rStyle w:val="Strong"/>
          <w:rFonts w:ascii="Times New Roman" w:hAnsi="Times New Roman" w:cs="Times New Roman"/>
          <w:b w:val="0"/>
          <w:bCs w:val="0"/>
          <w:sz w:val="24"/>
          <w:szCs w:val="24"/>
        </w:rPr>
        <w:t>strives to increase them in the future</w:t>
      </w:r>
      <w:r w:rsidR="005F4737" w:rsidRPr="00232D1D">
        <w:rPr>
          <w:rStyle w:val="Strong"/>
          <w:rFonts w:ascii="Times New Roman" w:hAnsi="Times New Roman" w:cs="Times New Roman"/>
          <w:b w:val="0"/>
          <w:bCs w:val="0"/>
          <w:sz w:val="24"/>
          <w:szCs w:val="24"/>
        </w:rPr>
        <w:t xml:space="preserve">. The administrative staff </w:t>
      </w:r>
      <w:r w:rsidR="006A747E" w:rsidRPr="00232D1D">
        <w:rPr>
          <w:rStyle w:val="Strong"/>
          <w:rFonts w:ascii="Times New Roman" w:hAnsi="Times New Roman" w:cs="Times New Roman"/>
          <w:b w:val="0"/>
          <w:bCs w:val="0"/>
          <w:sz w:val="24"/>
          <w:szCs w:val="24"/>
        </w:rPr>
        <w:t xml:space="preserve">have and will continue to work </w:t>
      </w:r>
      <w:r w:rsidR="00CB387C" w:rsidRPr="00232D1D">
        <w:rPr>
          <w:rStyle w:val="Strong"/>
          <w:rFonts w:ascii="Times New Roman" w:hAnsi="Times New Roman" w:cs="Times New Roman"/>
          <w:b w:val="0"/>
          <w:bCs w:val="0"/>
          <w:sz w:val="24"/>
          <w:szCs w:val="24"/>
        </w:rPr>
        <w:t>diligently</w:t>
      </w:r>
      <w:r w:rsidR="006A747E" w:rsidRPr="00232D1D">
        <w:rPr>
          <w:rStyle w:val="Strong"/>
          <w:rFonts w:ascii="Times New Roman" w:hAnsi="Times New Roman" w:cs="Times New Roman"/>
          <w:b w:val="0"/>
          <w:bCs w:val="0"/>
          <w:sz w:val="24"/>
          <w:szCs w:val="24"/>
        </w:rPr>
        <w:t xml:space="preserve"> to maximize available financial resources</w:t>
      </w:r>
      <w:r w:rsidR="008278FB" w:rsidRPr="00232D1D">
        <w:rPr>
          <w:rStyle w:val="Strong"/>
          <w:rFonts w:ascii="Times New Roman" w:hAnsi="Times New Roman" w:cs="Times New Roman"/>
          <w:b w:val="0"/>
          <w:bCs w:val="0"/>
          <w:sz w:val="24"/>
          <w:szCs w:val="24"/>
        </w:rPr>
        <w:t xml:space="preserve">. </w:t>
      </w:r>
      <w:r w:rsidR="006A747E" w:rsidRPr="00232D1D">
        <w:rPr>
          <w:rStyle w:val="Strong"/>
          <w:rFonts w:ascii="Times New Roman" w:hAnsi="Times New Roman" w:cs="Times New Roman"/>
          <w:b w:val="0"/>
          <w:bCs w:val="0"/>
          <w:sz w:val="24"/>
          <w:szCs w:val="24"/>
        </w:rPr>
        <w:t xml:space="preserve"> </w:t>
      </w:r>
      <w:r w:rsidR="005B4EF4" w:rsidRPr="00232D1D">
        <w:rPr>
          <w:rStyle w:val="Strong"/>
          <w:rFonts w:ascii="Times New Roman" w:hAnsi="Times New Roman" w:cs="Times New Roman"/>
          <w:b w:val="0"/>
          <w:bCs w:val="0"/>
          <w:sz w:val="24"/>
          <w:szCs w:val="24"/>
        </w:rPr>
        <w:t>By doing so</w:t>
      </w:r>
      <w:r w:rsidR="002324C2" w:rsidRPr="00232D1D">
        <w:rPr>
          <w:rStyle w:val="Strong"/>
          <w:rFonts w:ascii="Times New Roman" w:hAnsi="Times New Roman" w:cs="Times New Roman"/>
          <w:b w:val="0"/>
          <w:bCs w:val="0"/>
          <w:sz w:val="24"/>
          <w:szCs w:val="24"/>
        </w:rPr>
        <w:t>,</w:t>
      </w:r>
      <w:r w:rsidR="005B4EF4" w:rsidRPr="00232D1D">
        <w:rPr>
          <w:rStyle w:val="Strong"/>
          <w:rFonts w:ascii="Times New Roman" w:hAnsi="Times New Roman" w:cs="Times New Roman"/>
          <w:b w:val="0"/>
          <w:bCs w:val="0"/>
          <w:sz w:val="24"/>
          <w:szCs w:val="24"/>
        </w:rPr>
        <w:t xml:space="preserve"> this will</w:t>
      </w:r>
      <w:r w:rsidR="004153CD" w:rsidRPr="00232D1D">
        <w:rPr>
          <w:rStyle w:val="Strong"/>
          <w:rFonts w:ascii="Times New Roman" w:hAnsi="Times New Roman" w:cs="Times New Roman"/>
          <w:b w:val="0"/>
          <w:bCs w:val="0"/>
          <w:sz w:val="24"/>
          <w:szCs w:val="24"/>
        </w:rPr>
        <w:t xml:space="preserve"> increas</w:t>
      </w:r>
      <w:r w:rsidR="00AE2AE2" w:rsidRPr="00232D1D">
        <w:rPr>
          <w:rStyle w:val="Strong"/>
          <w:rFonts w:ascii="Times New Roman" w:hAnsi="Times New Roman" w:cs="Times New Roman"/>
          <w:b w:val="0"/>
          <w:bCs w:val="0"/>
          <w:sz w:val="24"/>
          <w:szCs w:val="24"/>
        </w:rPr>
        <w:t>e potential</w:t>
      </w:r>
      <w:r w:rsidR="00FD51F8" w:rsidRPr="00232D1D">
        <w:rPr>
          <w:rStyle w:val="Strong"/>
          <w:rFonts w:ascii="Times New Roman" w:hAnsi="Times New Roman" w:cs="Times New Roman"/>
          <w:b w:val="0"/>
          <w:bCs w:val="0"/>
          <w:sz w:val="24"/>
          <w:szCs w:val="24"/>
        </w:rPr>
        <w:t xml:space="preserve"> </w:t>
      </w:r>
      <w:r w:rsidR="00E72D10" w:rsidRPr="00232D1D">
        <w:rPr>
          <w:rStyle w:val="Strong"/>
          <w:rFonts w:ascii="Times New Roman" w:hAnsi="Times New Roman" w:cs="Times New Roman"/>
          <w:b w:val="0"/>
          <w:bCs w:val="0"/>
          <w:sz w:val="24"/>
          <w:szCs w:val="24"/>
        </w:rPr>
        <w:t xml:space="preserve">older </w:t>
      </w:r>
      <w:r w:rsidR="005A3C18" w:rsidRPr="00232D1D">
        <w:rPr>
          <w:rStyle w:val="Strong"/>
          <w:rFonts w:ascii="Times New Roman" w:hAnsi="Times New Roman" w:cs="Times New Roman"/>
          <w:b w:val="0"/>
          <w:bCs w:val="0"/>
          <w:sz w:val="24"/>
          <w:szCs w:val="24"/>
        </w:rPr>
        <w:t>adults’</w:t>
      </w:r>
      <w:r w:rsidR="00E72D10" w:rsidRPr="00232D1D">
        <w:rPr>
          <w:rStyle w:val="Strong"/>
          <w:rFonts w:ascii="Times New Roman" w:hAnsi="Times New Roman" w:cs="Times New Roman"/>
          <w:b w:val="0"/>
          <w:bCs w:val="0"/>
          <w:sz w:val="24"/>
          <w:szCs w:val="24"/>
        </w:rPr>
        <w:t xml:space="preserve"> </w:t>
      </w:r>
      <w:r w:rsidR="00FD51F8" w:rsidRPr="00232D1D">
        <w:rPr>
          <w:rStyle w:val="Strong"/>
          <w:rFonts w:ascii="Times New Roman" w:hAnsi="Times New Roman" w:cs="Times New Roman"/>
          <w:b w:val="0"/>
          <w:bCs w:val="0"/>
          <w:sz w:val="24"/>
          <w:szCs w:val="24"/>
        </w:rPr>
        <w:t>participation</w:t>
      </w:r>
      <w:r w:rsidR="00E72D10" w:rsidRPr="00232D1D">
        <w:rPr>
          <w:rStyle w:val="Strong"/>
          <w:rFonts w:ascii="Times New Roman" w:hAnsi="Times New Roman" w:cs="Times New Roman"/>
          <w:b w:val="0"/>
          <w:bCs w:val="0"/>
          <w:sz w:val="24"/>
          <w:szCs w:val="24"/>
        </w:rPr>
        <w:t xml:space="preserve"> in the program</w:t>
      </w:r>
      <w:r w:rsidR="00FD51F8" w:rsidRPr="00232D1D">
        <w:rPr>
          <w:rStyle w:val="Strong"/>
          <w:rFonts w:ascii="Times New Roman" w:hAnsi="Times New Roman" w:cs="Times New Roman"/>
          <w:b w:val="0"/>
          <w:bCs w:val="0"/>
          <w:sz w:val="24"/>
          <w:szCs w:val="24"/>
        </w:rPr>
        <w:t>s</w:t>
      </w:r>
      <w:r w:rsidR="002324C2" w:rsidRPr="00232D1D">
        <w:rPr>
          <w:rStyle w:val="Strong"/>
          <w:rFonts w:ascii="Times New Roman" w:hAnsi="Times New Roman" w:cs="Times New Roman"/>
          <w:b w:val="0"/>
          <w:bCs w:val="0"/>
          <w:sz w:val="24"/>
          <w:szCs w:val="24"/>
        </w:rPr>
        <w:t xml:space="preserve"> and</w:t>
      </w:r>
      <w:r w:rsidR="00E72D10" w:rsidRPr="00232D1D">
        <w:rPr>
          <w:rStyle w:val="Strong"/>
          <w:rFonts w:ascii="Times New Roman" w:hAnsi="Times New Roman" w:cs="Times New Roman"/>
          <w:b w:val="0"/>
          <w:bCs w:val="0"/>
          <w:sz w:val="24"/>
          <w:szCs w:val="24"/>
        </w:rPr>
        <w:t xml:space="preserve"> services </w:t>
      </w:r>
      <w:r w:rsidR="00476DD5" w:rsidRPr="00232D1D">
        <w:rPr>
          <w:rStyle w:val="Strong"/>
          <w:rFonts w:ascii="Times New Roman" w:hAnsi="Times New Roman" w:cs="Times New Roman"/>
          <w:b w:val="0"/>
          <w:bCs w:val="0"/>
          <w:sz w:val="24"/>
          <w:szCs w:val="24"/>
        </w:rPr>
        <w:t>they need</w:t>
      </w:r>
      <w:r w:rsidR="004153CD" w:rsidRPr="00232D1D">
        <w:rPr>
          <w:rStyle w:val="Strong"/>
          <w:rFonts w:ascii="Times New Roman" w:hAnsi="Times New Roman" w:cs="Times New Roman"/>
          <w:b w:val="0"/>
          <w:bCs w:val="0"/>
          <w:sz w:val="24"/>
          <w:szCs w:val="24"/>
        </w:rPr>
        <w:t>.</w:t>
      </w:r>
    </w:p>
    <w:p w14:paraId="39513EA3" w14:textId="598C3FA8" w:rsidR="0052482B" w:rsidRPr="00232D1D" w:rsidRDefault="00735740" w:rsidP="00232D1D">
      <w:p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Public transportation is almost non-existent in the region as there is no longer a commercial bus service </w:t>
      </w:r>
      <w:r w:rsidR="007B5A06" w:rsidRPr="00232D1D">
        <w:rPr>
          <w:rStyle w:val="Strong"/>
          <w:rFonts w:ascii="Times New Roman" w:hAnsi="Times New Roman" w:cs="Times New Roman"/>
          <w:b w:val="0"/>
          <w:bCs w:val="0"/>
          <w:sz w:val="24"/>
          <w:szCs w:val="24"/>
        </w:rPr>
        <w:t>or</w:t>
      </w:r>
      <w:r w:rsidRPr="00232D1D">
        <w:rPr>
          <w:rStyle w:val="Strong"/>
          <w:rFonts w:ascii="Times New Roman" w:hAnsi="Times New Roman" w:cs="Times New Roman"/>
          <w:b w:val="0"/>
          <w:bCs w:val="0"/>
          <w:sz w:val="24"/>
          <w:szCs w:val="24"/>
        </w:rPr>
        <w:t xml:space="preserve"> no</w:t>
      </w:r>
      <w:r w:rsidR="00F02EDD" w:rsidRPr="00232D1D">
        <w:rPr>
          <w:rStyle w:val="Strong"/>
          <w:rFonts w:ascii="Times New Roman" w:hAnsi="Times New Roman" w:cs="Times New Roman"/>
          <w:b w:val="0"/>
          <w:bCs w:val="0"/>
          <w:sz w:val="24"/>
          <w:szCs w:val="24"/>
        </w:rPr>
        <w:t xml:space="preserve"> </w:t>
      </w:r>
      <w:r w:rsidRPr="00232D1D">
        <w:rPr>
          <w:rStyle w:val="Strong"/>
          <w:rFonts w:ascii="Times New Roman" w:hAnsi="Times New Roman" w:cs="Times New Roman"/>
          <w:b w:val="0"/>
          <w:bCs w:val="0"/>
          <w:sz w:val="24"/>
          <w:szCs w:val="24"/>
        </w:rPr>
        <w:t>ride share options (Uber, Lyft</w:t>
      </w:r>
      <w:r w:rsidR="00F02EDD" w:rsidRPr="00232D1D">
        <w:rPr>
          <w:rStyle w:val="Strong"/>
          <w:rFonts w:ascii="Times New Roman" w:hAnsi="Times New Roman" w:cs="Times New Roman"/>
          <w:b w:val="0"/>
          <w:bCs w:val="0"/>
          <w:sz w:val="24"/>
          <w:szCs w:val="24"/>
        </w:rPr>
        <w:t>,</w:t>
      </w:r>
      <w:r w:rsidRPr="00232D1D">
        <w:rPr>
          <w:rStyle w:val="Strong"/>
          <w:rFonts w:ascii="Times New Roman" w:hAnsi="Times New Roman" w:cs="Times New Roman"/>
          <w:b w:val="0"/>
          <w:bCs w:val="0"/>
          <w:sz w:val="24"/>
          <w:szCs w:val="24"/>
        </w:rPr>
        <w:t xml:space="preserve"> etc.)</w:t>
      </w:r>
      <w:r w:rsidR="00F02EDD" w:rsidRPr="00232D1D">
        <w:rPr>
          <w:rStyle w:val="Strong"/>
          <w:rFonts w:ascii="Times New Roman" w:hAnsi="Times New Roman" w:cs="Times New Roman"/>
          <w:b w:val="0"/>
          <w:bCs w:val="0"/>
          <w:sz w:val="24"/>
          <w:szCs w:val="24"/>
        </w:rPr>
        <w:t>.</w:t>
      </w:r>
      <w:r w:rsidRPr="00232D1D">
        <w:rPr>
          <w:rStyle w:val="Strong"/>
          <w:rFonts w:ascii="Times New Roman" w:hAnsi="Times New Roman" w:cs="Times New Roman"/>
          <w:b w:val="0"/>
          <w:bCs w:val="0"/>
          <w:sz w:val="24"/>
          <w:szCs w:val="24"/>
        </w:rPr>
        <w:t xml:space="preserve"> </w:t>
      </w:r>
      <w:r w:rsidR="00C55EA4" w:rsidRPr="00232D1D">
        <w:rPr>
          <w:rStyle w:val="Strong"/>
          <w:rFonts w:ascii="Times New Roman" w:hAnsi="Times New Roman" w:cs="Times New Roman"/>
          <w:b w:val="0"/>
          <w:bCs w:val="0"/>
          <w:sz w:val="24"/>
          <w:szCs w:val="24"/>
        </w:rPr>
        <w:t>M</w:t>
      </w:r>
      <w:r w:rsidRPr="00232D1D">
        <w:rPr>
          <w:rStyle w:val="Strong"/>
          <w:rFonts w:ascii="Times New Roman" w:hAnsi="Times New Roman" w:cs="Times New Roman"/>
          <w:b w:val="0"/>
          <w:bCs w:val="0"/>
          <w:sz w:val="24"/>
          <w:szCs w:val="24"/>
        </w:rPr>
        <w:t xml:space="preserve">any folks are </w:t>
      </w:r>
      <w:r w:rsidR="001639BA" w:rsidRPr="00232D1D">
        <w:rPr>
          <w:rStyle w:val="Strong"/>
          <w:rFonts w:ascii="Times New Roman" w:hAnsi="Times New Roman" w:cs="Times New Roman"/>
          <w:b w:val="0"/>
          <w:bCs w:val="0"/>
          <w:sz w:val="24"/>
          <w:szCs w:val="24"/>
        </w:rPr>
        <w:t>limited in transportation options</w:t>
      </w:r>
      <w:r w:rsidR="00C55EA4" w:rsidRPr="00232D1D">
        <w:rPr>
          <w:rStyle w:val="Strong"/>
          <w:rFonts w:ascii="Times New Roman" w:hAnsi="Times New Roman" w:cs="Times New Roman"/>
          <w:b w:val="0"/>
          <w:bCs w:val="0"/>
          <w:sz w:val="24"/>
          <w:szCs w:val="24"/>
        </w:rPr>
        <w:t xml:space="preserve"> within the four counties</w:t>
      </w:r>
      <w:r w:rsidR="001639BA" w:rsidRPr="00232D1D">
        <w:rPr>
          <w:rStyle w:val="Strong"/>
          <w:rFonts w:ascii="Times New Roman" w:hAnsi="Times New Roman" w:cs="Times New Roman"/>
          <w:b w:val="0"/>
          <w:bCs w:val="0"/>
          <w:sz w:val="24"/>
          <w:szCs w:val="24"/>
        </w:rPr>
        <w:t xml:space="preserve">. There are two small </w:t>
      </w:r>
      <w:r w:rsidR="00447030" w:rsidRPr="00232D1D">
        <w:rPr>
          <w:rStyle w:val="Strong"/>
          <w:rFonts w:ascii="Times New Roman" w:hAnsi="Times New Roman" w:cs="Times New Roman"/>
          <w:b w:val="0"/>
          <w:bCs w:val="0"/>
          <w:sz w:val="24"/>
          <w:szCs w:val="24"/>
        </w:rPr>
        <w:t>businesses</w:t>
      </w:r>
      <w:r w:rsidR="001639BA" w:rsidRPr="00232D1D">
        <w:rPr>
          <w:rStyle w:val="Strong"/>
          <w:rFonts w:ascii="Times New Roman" w:hAnsi="Times New Roman" w:cs="Times New Roman"/>
          <w:b w:val="0"/>
          <w:bCs w:val="0"/>
          <w:sz w:val="24"/>
          <w:szCs w:val="24"/>
        </w:rPr>
        <w:t xml:space="preserve"> that offer some </w:t>
      </w:r>
      <w:r w:rsidR="00447030" w:rsidRPr="00232D1D">
        <w:rPr>
          <w:rStyle w:val="Strong"/>
          <w:rFonts w:ascii="Times New Roman" w:hAnsi="Times New Roman" w:cs="Times New Roman"/>
          <w:b w:val="0"/>
          <w:bCs w:val="0"/>
          <w:sz w:val="24"/>
          <w:szCs w:val="24"/>
        </w:rPr>
        <w:t>type of</w:t>
      </w:r>
      <w:r w:rsidR="001639BA" w:rsidRPr="00232D1D">
        <w:rPr>
          <w:rStyle w:val="Strong"/>
          <w:rFonts w:ascii="Times New Roman" w:hAnsi="Times New Roman" w:cs="Times New Roman"/>
          <w:b w:val="0"/>
          <w:bCs w:val="0"/>
          <w:sz w:val="24"/>
          <w:szCs w:val="24"/>
        </w:rPr>
        <w:t xml:space="preserve"> </w:t>
      </w:r>
      <w:r w:rsidR="00601B7F" w:rsidRPr="00232D1D">
        <w:rPr>
          <w:rStyle w:val="Strong"/>
          <w:rFonts w:ascii="Times New Roman" w:hAnsi="Times New Roman" w:cs="Times New Roman"/>
          <w:b w:val="0"/>
          <w:bCs w:val="0"/>
          <w:sz w:val="24"/>
          <w:szCs w:val="24"/>
        </w:rPr>
        <w:t xml:space="preserve">on-call </w:t>
      </w:r>
      <w:r w:rsidR="001639BA" w:rsidRPr="00232D1D">
        <w:rPr>
          <w:rStyle w:val="Strong"/>
          <w:rFonts w:ascii="Times New Roman" w:hAnsi="Times New Roman" w:cs="Times New Roman"/>
          <w:b w:val="0"/>
          <w:bCs w:val="0"/>
          <w:sz w:val="24"/>
          <w:szCs w:val="24"/>
        </w:rPr>
        <w:t>service</w:t>
      </w:r>
      <w:r w:rsidR="00447030" w:rsidRPr="00232D1D">
        <w:rPr>
          <w:rStyle w:val="Strong"/>
          <w:rFonts w:ascii="Times New Roman" w:hAnsi="Times New Roman" w:cs="Times New Roman"/>
          <w:b w:val="0"/>
          <w:bCs w:val="0"/>
          <w:sz w:val="24"/>
          <w:szCs w:val="24"/>
        </w:rPr>
        <w:t>.</w:t>
      </w:r>
      <w:r w:rsidR="00A8065B" w:rsidRPr="00232D1D">
        <w:rPr>
          <w:rStyle w:val="Strong"/>
          <w:rFonts w:ascii="Times New Roman" w:hAnsi="Times New Roman" w:cs="Times New Roman"/>
          <w:b w:val="0"/>
          <w:bCs w:val="0"/>
          <w:sz w:val="24"/>
          <w:szCs w:val="24"/>
        </w:rPr>
        <w:t xml:space="preserve"> ECCOG’s Outback Express</w:t>
      </w:r>
      <w:r w:rsidR="00E43293" w:rsidRPr="00232D1D">
        <w:rPr>
          <w:rStyle w:val="Strong"/>
          <w:rFonts w:ascii="Times New Roman" w:hAnsi="Times New Roman" w:cs="Times New Roman"/>
          <w:b w:val="0"/>
          <w:bCs w:val="0"/>
          <w:sz w:val="24"/>
          <w:szCs w:val="24"/>
        </w:rPr>
        <w:t xml:space="preserve"> transit</w:t>
      </w:r>
      <w:r w:rsidR="00A8065B" w:rsidRPr="00232D1D">
        <w:rPr>
          <w:rStyle w:val="Strong"/>
          <w:rFonts w:ascii="Times New Roman" w:hAnsi="Times New Roman" w:cs="Times New Roman"/>
          <w:b w:val="0"/>
          <w:bCs w:val="0"/>
          <w:sz w:val="24"/>
          <w:szCs w:val="24"/>
        </w:rPr>
        <w:t xml:space="preserve"> system is available</w:t>
      </w:r>
      <w:r w:rsidR="006D392E" w:rsidRPr="00232D1D">
        <w:rPr>
          <w:rStyle w:val="Strong"/>
          <w:rFonts w:ascii="Times New Roman" w:hAnsi="Times New Roman" w:cs="Times New Roman"/>
          <w:b w:val="0"/>
          <w:bCs w:val="0"/>
          <w:sz w:val="24"/>
          <w:szCs w:val="24"/>
        </w:rPr>
        <w:t xml:space="preserve"> as a fixed-route demand response service</w:t>
      </w:r>
      <w:r w:rsidR="00A8065B" w:rsidRPr="00232D1D">
        <w:rPr>
          <w:rStyle w:val="Strong"/>
          <w:rFonts w:ascii="Times New Roman" w:hAnsi="Times New Roman" w:cs="Times New Roman"/>
          <w:b w:val="0"/>
          <w:bCs w:val="0"/>
          <w:sz w:val="24"/>
          <w:szCs w:val="24"/>
        </w:rPr>
        <w:t xml:space="preserve">. </w:t>
      </w:r>
      <w:r w:rsidR="00E43293" w:rsidRPr="00232D1D">
        <w:rPr>
          <w:rStyle w:val="Strong"/>
          <w:rFonts w:ascii="Times New Roman" w:hAnsi="Times New Roman" w:cs="Times New Roman"/>
          <w:b w:val="0"/>
          <w:bCs w:val="0"/>
          <w:sz w:val="24"/>
          <w:szCs w:val="24"/>
        </w:rPr>
        <w:t>Even though</w:t>
      </w:r>
      <w:r w:rsidR="00A8065B" w:rsidRPr="00232D1D">
        <w:rPr>
          <w:rStyle w:val="Strong"/>
          <w:rFonts w:ascii="Times New Roman" w:hAnsi="Times New Roman" w:cs="Times New Roman"/>
          <w:b w:val="0"/>
          <w:bCs w:val="0"/>
          <w:sz w:val="24"/>
          <w:szCs w:val="24"/>
        </w:rPr>
        <w:t xml:space="preserve"> it is available, it is still only </w:t>
      </w:r>
      <w:r w:rsidR="00E43293" w:rsidRPr="00232D1D">
        <w:rPr>
          <w:rStyle w:val="Strong"/>
          <w:rFonts w:ascii="Times New Roman" w:hAnsi="Times New Roman" w:cs="Times New Roman"/>
          <w:b w:val="0"/>
          <w:bCs w:val="0"/>
          <w:sz w:val="24"/>
          <w:szCs w:val="24"/>
        </w:rPr>
        <w:t>a part-time public transit service</w:t>
      </w:r>
      <w:r w:rsidR="00B13E4D" w:rsidRPr="00232D1D">
        <w:rPr>
          <w:rStyle w:val="Strong"/>
          <w:rFonts w:ascii="Times New Roman" w:hAnsi="Times New Roman" w:cs="Times New Roman"/>
          <w:b w:val="0"/>
          <w:bCs w:val="0"/>
          <w:sz w:val="24"/>
          <w:szCs w:val="24"/>
        </w:rPr>
        <w:t xml:space="preserve">. </w:t>
      </w:r>
      <w:r w:rsidR="00E75661" w:rsidRPr="00232D1D">
        <w:rPr>
          <w:rStyle w:val="Strong"/>
          <w:rFonts w:ascii="Times New Roman" w:hAnsi="Times New Roman" w:cs="Times New Roman"/>
          <w:b w:val="0"/>
          <w:bCs w:val="0"/>
          <w:sz w:val="24"/>
          <w:szCs w:val="24"/>
        </w:rPr>
        <w:t>ECCOG</w:t>
      </w:r>
      <w:r w:rsidR="00A46627" w:rsidRPr="00232D1D">
        <w:rPr>
          <w:rStyle w:val="Strong"/>
          <w:rFonts w:ascii="Times New Roman" w:hAnsi="Times New Roman" w:cs="Times New Roman"/>
          <w:b w:val="0"/>
          <w:bCs w:val="0"/>
          <w:sz w:val="24"/>
          <w:szCs w:val="24"/>
        </w:rPr>
        <w:t>’</w:t>
      </w:r>
      <w:r w:rsidR="00AB4527" w:rsidRPr="00232D1D">
        <w:rPr>
          <w:rStyle w:val="Strong"/>
          <w:rFonts w:ascii="Times New Roman" w:hAnsi="Times New Roman" w:cs="Times New Roman"/>
          <w:b w:val="0"/>
          <w:bCs w:val="0"/>
          <w:sz w:val="24"/>
          <w:szCs w:val="24"/>
        </w:rPr>
        <w:t>s staff</w:t>
      </w:r>
      <w:r w:rsidR="00E75661" w:rsidRPr="00232D1D">
        <w:rPr>
          <w:rStyle w:val="Strong"/>
          <w:rFonts w:ascii="Times New Roman" w:hAnsi="Times New Roman" w:cs="Times New Roman"/>
          <w:b w:val="0"/>
          <w:bCs w:val="0"/>
          <w:sz w:val="24"/>
          <w:szCs w:val="24"/>
        </w:rPr>
        <w:t xml:space="preserve"> </w:t>
      </w:r>
      <w:r w:rsidR="00AB4527" w:rsidRPr="00232D1D">
        <w:rPr>
          <w:rStyle w:val="Strong"/>
          <w:rFonts w:ascii="Times New Roman" w:hAnsi="Times New Roman" w:cs="Times New Roman"/>
          <w:b w:val="0"/>
          <w:bCs w:val="0"/>
          <w:sz w:val="24"/>
          <w:szCs w:val="24"/>
        </w:rPr>
        <w:t>develops</w:t>
      </w:r>
      <w:r w:rsidR="00E75661" w:rsidRPr="00232D1D">
        <w:rPr>
          <w:rStyle w:val="Strong"/>
          <w:rFonts w:ascii="Times New Roman" w:hAnsi="Times New Roman" w:cs="Times New Roman"/>
          <w:b w:val="0"/>
          <w:bCs w:val="0"/>
          <w:sz w:val="24"/>
          <w:szCs w:val="24"/>
        </w:rPr>
        <w:t xml:space="preserve"> strategies to improve the transit s</w:t>
      </w:r>
      <w:r w:rsidR="002E49AB" w:rsidRPr="00232D1D">
        <w:rPr>
          <w:rStyle w:val="Strong"/>
          <w:rFonts w:ascii="Times New Roman" w:hAnsi="Times New Roman" w:cs="Times New Roman"/>
          <w:b w:val="0"/>
          <w:bCs w:val="0"/>
          <w:sz w:val="24"/>
          <w:szCs w:val="24"/>
        </w:rPr>
        <w:t>ystem and better serve the</w:t>
      </w:r>
      <w:r w:rsidR="00081726" w:rsidRPr="00232D1D">
        <w:rPr>
          <w:rStyle w:val="Strong"/>
          <w:rFonts w:ascii="Times New Roman" w:hAnsi="Times New Roman" w:cs="Times New Roman"/>
          <w:b w:val="0"/>
          <w:bCs w:val="0"/>
          <w:sz w:val="24"/>
          <w:szCs w:val="24"/>
        </w:rPr>
        <w:t xml:space="preserve"> </w:t>
      </w:r>
      <w:r w:rsidR="009E2341" w:rsidRPr="00232D1D">
        <w:rPr>
          <w:rStyle w:val="Strong"/>
          <w:rFonts w:ascii="Times New Roman" w:hAnsi="Times New Roman" w:cs="Times New Roman"/>
          <w:b w:val="0"/>
          <w:bCs w:val="0"/>
          <w:sz w:val="24"/>
          <w:szCs w:val="24"/>
        </w:rPr>
        <w:t>public</w:t>
      </w:r>
      <w:r w:rsidR="00081726" w:rsidRPr="00232D1D">
        <w:rPr>
          <w:rStyle w:val="Strong"/>
          <w:rFonts w:ascii="Times New Roman" w:hAnsi="Times New Roman" w:cs="Times New Roman"/>
          <w:b w:val="0"/>
          <w:bCs w:val="0"/>
          <w:sz w:val="24"/>
          <w:szCs w:val="24"/>
        </w:rPr>
        <w:t>.</w:t>
      </w:r>
      <w:r w:rsidR="002E49AB" w:rsidRPr="00232D1D">
        <w:rPr>
          <w:rStyle w:val="Strong"/>
          <w:rFonts w:ascii="Times New Roman" w:hAnsi="Times New Roman" w:cs="Times New Roman"/>
          <w:b w:val="0"/>
          <w:bCs w:val="0"/>
          <w:sz w:val="24"/>
          <w:szCs w:val="24"/>
        </w:rPr>
        <w:t xml:space="preserve"> </w:t>
      </w:r>
      <w:r w:rsidR="009E2341" w:rsidRPr="00232D1D">
        <w:rPr>
          <w:rStyle w:val="Strong"/>
          <w:rFonts w:ascii="Times New Roman" w:hAnsi="Times New Roman" w:cs="Times New Roman"/>
          <w:b w:val="0"/>
          <w:bCs w:val="0"/>
          <w:sz w:val="24"/>
          <w:szCs w:val="24"/>
        </w:rPr>
        <w:t>W</w:t>
      </w:r>
      <w:r w:rsidR="002E49AB" w:rsidRPr="00232D1D">
        <w:rPr>
          <w:rStyle w:val="Strong"/>
          <w:rFonts w:ascii="Times New Roman" w:hAnsi="Times New Roman" w:cs="Times New Roman"/>
          <w:b w:val="0"/>
          <w:bCs w:val="0"/>
          <w:sz w:val="24"/>
          <w:szCs w:val="24"/>
        </w:rPr>
        <w:t>orking with local officials</w:t>
      </w:r>
      <w:r w:rsidR="007679DB" w:rsidRPr="00232D1D">
        <w:rPr>
          <w:rStyle w:val="Strong"/>
          <w:rFonts w:ascii="Times New Roman" w:hAnsi="Times New Roman" w:cs="Times New Roman"/>
          <w:b w:val="0"/>
          <w:bCs w:val="0"/>
          <w:sz w:val="24"/>
          <w:szCs w:val="24"/>
        </w:rPr>
        <w:t>, client</w:t>
      </w:r>
      <w:r w:rsidR="003001C6" w:rsidRPr="00232D1D">
        <w:rPr>
          <w:rStyle w:val="Strong"/>
          <w:rFonts w:ascii="Times New Roman" w:hAnsi="Times New Roman" w:cs="Times New Roman"/>
          <w:b w:val="0"/>
          <w:bCs w:val="0"/>
          <w:sz w:val="24"/>
          <w:szCs w:val="24"/>
        </w:rPr>
        <w:t>’s</w:t>
      </w:r>
      <w:r w:rsidR="007679DB" w:rsidRPr="00232D1D">
        <w:rPr>
          <w:rStyle w:val="Strong"/>
          <w:rFonts w:ascii="Times New Roman" w:hAnsi="Times New Roman" w:cs="Times New Roman"/>
          <w:b w:val="0"/>
          <w:bCs w:val="0"/>
          <w:sz w:val="24"/>
          <w:szCs w:val="24"/>
        </w:rPr>
        <w:t xml:space="preserve"> </w:t>
      </w:r>
      <w:r w:rsidR="0095641B" w:rsidRPr="00232D1D">
        <w:rPr>
          <w:rStyle w:val="Strong"/>
          <w:rFonts w:ascii="Times New Roman" w:hAnsi="Times New Roman" w:cs="Times New Roman"/>
          <w:b w:val="0"/>
          <w:bCs w:val="0"/>
          <w:sz w:val="24"/>
          <w:szCs w:val="24"/>
        </w:rPr>
        <w:t>feedback,</w:t>
      </w:r>
      <w:r w:rsidR="007679DB" w:rsidRPr="00232D1D">
        <w:rPr>
          <w:rStyle w:val="Strong"/>
          <w:rFonts w:ascii="Times New Roman" w:hAnsi="Times New Roman" w:cs="Times New Roman"/>
          <w:b w:val="0"/>
          <w:bCs w:val="0"/>
          <w:sz w:val="24"/>
          <w:szCs w:val="24"/>
        </w:rPr>
        <w:t xml:space="preserve"> and other open community discussions</w:t>
      </w:r>
      <w:r w:rsidR="003001C6" w:rsidRPr="00232D1D">
        <w:rPr>
          <w:rStyle w:val="Strong"/>
          <w:rFonts w:ascii="Times New Roman" w:hAnsi="Times New Roman" w:cs="Times New Roman"/>
          <w:b w:val="0"/>
          <w:bCs w:val="0"/>
          <w:sz w:val="24"/>
          <w:szCs w:val="24"/>
        </w:rPr>
        <w:t xml:space="preserve">, we’ve learned </w:t>
      </w:r>
      <w:r w:rsidR="00621B4F" w:rsidRPr="00232D1D">
        <w:rPr>
          <w:rStyle w:val="Strong"/>
          <w:rFonts w:ascii="Times New Roman" w:hAnsi="Times New Roman" w:cs="Times New Roman"/>
          <w:b w:val="0"/>
          <w:bCs w:val="0"/>
          <w:sz w:val="24"/>
          <w:szCs w:val="24"/>
        </w:rPr>
        <w:t xml:space="preserve">how to </w:t>
      </w:r>
      <w:r w:rsidR="003001C6" w:rsidRPr="00232D1D">
        <w:rPr>
          <w:rStyle w:val="Strong"/>
          <w:rFonts w:ascii="Times New Roman" w:hAnsi="Times New Roman" w:cs="Times New Roman"/>
          <w:b w:val="0"/>
          <w:bCs w:val="0"/>
          <w:sz w:val="24"/>
          <w:szCs w:val="24"/>
        </w:rPr>
        <w:t>i</w:t>
      </w:r>
      <w:r w:rsidR="007679DB" w:rsidRPr="00232D1D">
        <w:rPr>
          <w:rStyle w:val="Strong"/>
          <w:rFonts w:ascii="Times New Roman" w:hAnsi="Times New Roman" w:cs="Times New Roman"/>
          <w:b w:val="0"/>
          <w:bCs w:val="0"/>
          <w:sz w:val="24"/>
          <w:szCs w:val="24"/>
        </w:rPr>
        <w:t xml:space="preserve">mprove the system. </w:t>
      </w:r>
    </w:p>
    <w:p w14:paraId="315C4835" w14:textId="07C63728" w:rsidR="00693E98" w:rsidRPr="00232D1D" w:rsidRDefault="004E6A64" w:rsidP="00232D1D">
      <w:p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INSERT GRAPHIC HERE (Avg. Miles to METRO)</w:t>
      </w:r>
    </w:p>
    <w:p w14:paraId="3312654B" w14:textId="21D6DB49" w:rsidR="004E6A64" w:rsidRPr="00232D1D" w:rsidRDefault="004E6A64" w:rsidP="00232D1D">
      <w:p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Goals and Outcomes:</w:t>
      </w:r>
    </w:p>
    <w:p w14:paraId="7D1C7C40" w14:textId="1F681353" w:rsidR="005638CD" w:rsidRPr="00232D1D" w:rsidRDefault="003F56DD" w:rsidP="00232D1D">
      <w:pPr>
        <w:pStyle w:val="ListParagraph"/>
        <w:numPr>
          <w:ilvl w:val="0"/>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Increase awareness of the AAA programs and services</w:t>
      </w:r>
    </w:p>
    <w:p w14:paraId="5C55DBB7" w14:textId="198F0456" w:rsidR="003F56DD" w:rsidRPr="00232D1D" w:rsidRDefault="003F56DD"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lastRenderedPageBreak/>
        <w:t xml:space="preserve">Performing monthly outreach through Senior Service Coordinators, AAA staff and </w:t>
      </w:r>
      <w:r w:rsidR="00736B12" w:rsidRPr="00232D1D">
        <w:rPr>
          <w:rStyle w:val="Strong"/>
          <w:rFonts w:ascii="Times New Roman" w:hAnsi="Times New Roman" w:cs="Times New Roman"/>
          <w:b w:val="0"/>
          <w:bCs w:val="0"/>
          <w:sz w:val="24"/>
          <w:szCs w:val="24"/>
        </w:rPr>
        <w:t>provider referrals</w:t>
      </w:r>
    </w:p>
    <w:p w14:paraId="24C76A5D" w14:textId="7FE44EF2" w:rsidR="008A1072" w:rsidRPr="00232D1D" w:rsidRDefault="008A1072"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Increase advertising in local newspapers, radio</w:t>
      </w:r>
      <w:r w:rsidR="004C3608" w:rsidRPr="00232D1D">
        <w:rPr>
          <w:rStyle w:val="Strong"/>
          <w:rFonts w:ascii="Times New Roman" w:hAnsi="Times New Roman" w:cs="Times New Roman"/>
          <w:b w:val="0"/>
          <w:bCs w:val="0"/>
          <w:sz w:val="24"/>
          <w:szCs w:val="24"/>
        </w:rPr>
        <w:t xml:space="preserve">, print materials </w:t>
      </w:r>
      <w:r w:rsidRPr="00232D1D">
        <w:rPr>
          <w:rStyle w:val="Strong"/>
          <w:rFonts w:ascii="Times New Roman" w:hAnsi="Times New Roman" w:cs="Times New Roman"/>
          <w:b w:val="0"/>
          <w:bCs w:val="0"/>
          <w:sz w:val="24"/>
          <w:szCs w:val="24"/>
        </w:rPr>
        <w:t xml:space="preserve">and social </w:t>
      </w:r>
      <w:proofErr w:type="gramStart"/>
      <w:r w:rsidRPr="00232D1D">
        <w:rPr>
          <w:rStyle w:val="Strong"/>
          <w:rFonts w:ascii="Times New Roman" w:hAnsi="Times New Roman" w:cs="Times New Roman"/>
          <w:b w:val="0"/>
          <w:bCs w:val="0"/>
          <w:sz w:val="24"/>
          <w:szCs w:val="24"/>
        </w:rPr>
        <w:t>media</w:t>
      </w:r>
      <w:proofErr w:type="gramEnd"/>
    </w:p>
    <w:p w14:paraId="729EE868" w14:textId="16BFD03E" w:rsidR="000260EC" w:rsidRPr="00232D1D" w:rsidRDefault="000260EC"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Conduct annual community conversations to collect </w:t>
      </w:r>
      <w:proofErr w:type="gramStart"/>
      <w:r w:rsidRPr="00232D1D">
        <w:rPr>
          <w:rStyle w:val="Strong"/>
          <w:rFonts w:ascii="Times New Roman" w:hAnsi="Times New Roman" w:cs="Times New Roman"/>
          <w:b w:val="0"/>
          <w:bCs w:val="0"/>
          <w:sz w:val="24"/>
          <w:szCs w:val="24"/>
        </w:rPr>
        <w:t>feedback</w:t>
      </w:r>
      <w:proofErr w:type="gramEnd"/>
    </w:p>
    <w:p w14:paraId="2197A305" w14:textId="09AF09C1" w:rsidR="00845F0C" w:rsidRPr="00232D1D" w:rsidRDefault="00AF4F98" w:rsidP="00232D1D">
      <w:pPr>
        <w:pStyle w:val="ListParagraph"/>
        <w:numPr>
          <w:ilvl w:val="0"/>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Increase client participation </w:t>
      </w:r>
      <w:r w:rsidR="001A7EFC" w:rsidRPr="00232D1D">
        <w:rPr>
          <w:rStyle w:val="Strong"/>
          <w:rFonts w:ascii="Times New Roman" w:hAnsi="Times New Roman" w:cs="Times New Roman"/>
          <w:b w:val="0"/>
          <w:bCs w:val="0"/>
          <w:sz w:val="24"/>
          <w:szCs w:val="24"/>
        </w:rPr>
        <w:t xml:space="preserve">by 10% in </w:t>
      </w:r>
      <w:r w:rsidR="0040031F" w:rsidRPr="00232D1D">
        <w:rPr>
          <w:rStyle w:val="Strong"/>
          <w:rFonts w:ascii="Times New Roman" w:hAnsi="Times New Roman" w:cs="Times New Roman"/>
          <w:b w:val="0"/>
          <w:bCs w:val="0"/>
          <w:sz w:val="24"/>
          <w:szCs w:val="24"/>
        </w:rPr>
        <w:t>existing</w:t>
      </w:r>
      <w:r w:rsidR="001A7EFC" w:rsidRPr="00232D1D">
        <w:rPr>
          <w:rStyle w:val="Strong"/>
          <w:rFonts w:ascii="Times New Roman" w:hAnsi="Times New Roman" w:cs="Times New Roman"/>
          <w:b w:val="0"/>
          <w:bCs w:val="0"/>
          <w:sz w:val="24"/>
          <w:szCs w:val="24"/>
        </w:rPr>
        <w:t xml:space="preserve"> program or service</w:t>
      </w:r>
      <w:r w:rsidR="0083630B" w:rsidRPr="00232D1D">
        <w:rPr>
          <w:rStyle w:val="Strong"/>
          <w:rFonts w:ascii="Times New Roman" w:hAnsi="Times New Roman" w:cs="Times New Roman"/>
          <w:b w:val="0"/>
          <w:bCs w:val="0"/>
          <w:sz w:val="24"/>
          <w:szCs w:val="24"/>
        </w:rPr>
        <w:t xml:space="preserve"> using 2022 as a </w:t>
      </w:r>
      <w:proofErr w:type="gramStart"/>
      <w:r w:rsidR="0083630B" w:rsidRPr="00232D1D">
        <w:rPr>
          <w:rStyle w:val="Strong"/>
          <w:rFonts w:ascii="Times New Roman" w:hAnsi="Times New Roman" w:cs="Times New Roman"/>
          <w:b w:val="0"/>
          <w:bCs w:val="0"/>
          <w:sz w:val="24"/>
          <w:szCs w:val="24"/>
        </w:rPr>
        <w:t>baseline</w:t>
      </w:r>
      <w:proofErr w:type="gramEnd"/>
    </w:p>
    <w:p w14:paraId="1D1F9230" w14:textId="559EA01C" w:rsidR="001A7EFC" w:rsidRPr="00232D1D" w:rsidRDefault="0083630B"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Track number of clients gained since December 2022</w:t>
      </w:r>
      <w:r w:rsidR="00185D99" w:rsidRPr="00232D1D">
        <w:rPr>
          <w:rStyle w:val="Strong"/>
          <w:rFonts w:ascii="Times New Roman" w:hAnsi="Times New Roman" w:cs="Times New Roman"/>
          <w:b w:val="0"/>
          <w:bCs w:val="0"/>
          <w:sz w:val="24"/>
          <w:szCs w:val="24"/>
        </w:rPr>
        <w:t xml:space="preserve"> </w:t>
      </w:r>
      <w:r w:rsidR="0069389A" w:rsidRPr="00232D1D">
        <w:rPr>
          <w:rStyle w:val="Strong"/>
          <w:rFonts w:ascii="Times New Roman" w:hAnsi="Times New Roman" w:cs="Times New Roman"/>
          <w:b w:val="0"/>
          <w:bCs w:val="0"/>
          <w:sz w:val="24"/>
          <w:szCs w:val="24"/>
        </w:rPr>
        <w:t>using</w:t>
      </w:r>
      <w:r w:rsidR="00185D99" w:rsidRPr="00232D1D">
        <w:rPr>
          <w:rStyle w:val="Strong"/>
          <w:rFonts w:ascii="Times New Roman" w:hAnsi="Times New Roman" w:cs="Times New Roman"/>
          <w:b w:val="0"/>
          <w:bCs w:val="0"/>
          <w:sz w:val="24"/>
          <w:szCs w:val="24"/>
        </w:rPr>
        <w:t xml:space="preserve"> </w:t>
      </w:r>
      <w:proofErr w:type="gramStart"/>
      <w:r w:rsidR="00185D99" w:rsidRPr="00232D1D">
        <w:rPr>
          <w:rStyle w:val="Strong"/>
          <w:rFonts w:ascii="Times New Roman" w:hAnsi="Times New Roman" w:cs="Times New Roman"/>
          <w:b w:val="0"/>
          <w:bCs w:val="0"/>
          <w:sz w:val="24"/>
          <w:szCs w:val="24"/>
        </w:rPr>
        <w:t>SUDS</w:t>
      </w:r>
      <w:proofErr w:type="gramEnd"/>
    </w:p>
    <w:p w14:paraId="69F6F2C6" w14:textId="43725316" w:rsidR="00803290" w:rsidRPr="00232D1D" w:rsidRDefault="002C4880"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Initiate </w:t>
      </w:r>
      <w:r w:rsidR="00EB5849" w:rsidRPr="00232D1D">
        <w:rPr>
          <w:rStyle w:val="Strong"/>
          <w:rFonts w:ascii="Times New Roman" w:hAnsi="Times New Roman" w:cs="Times New Roman"/>
          <w:b w:val="0"/>
          <w:bCs w:val="0"/>
          <w:sz w:val="24"/>
          <w:szCs w:val="24"/>
        </w:rPr>
        <w:t>one new</w:t>
      </w:r>
      <w:r w:rsidRPr="00232D1D">
        <w:rPr>
          <w:rStyle w:val="Strong"/>
          <w:rFonts w:ascii="Times New Roman" w:hAnsi="Times New Roman" w:cs="Times New Roman"/>
          <w:b w:val="0"/>
          <w:bCs w:val="0"/>
          <w:sz w:val="24"/>
          <w:szCs w:val="24"/>
        </w:rPr>
        <w:t xml:space="preserve"> contractual agreement with </w:t>
      </w:r>
      <w:r w:rsidR="00EB5849" w:rsidRPr="00232D1D">
        <w:rPr>
          <w:rStyle w:val="Strong"/>
          <w:rFonts w:ascii="Times New Roman" w:hAnsi="Times New Roman" w:cs="Times New Roman"/>
          <w:b w:val="0"/>
          <w:bCs w:val="0"/>
          <w:sz w:val="24"/>
          <w:szCs w:val="24"/>
        </w:rPr>
        <w:t xml:space="preserve">a mental health </w:t>
      </w:r>
      <w:proofErr w:type="gramStart"/>
      <w:r w:rsidR="001E50D6" w:rsidRPr="00232D1D">
        <w:rPr>
          <w:rStyle w:val="Strong"/>
          <w:rFonts w:ascii="Times New Roman" w:hAnsi="Times New Roman" w:cs="Times New Roman"/>
          <w:b w:val="0"/>
          <w:bCs w:val="0"/>
          <w:sz w:val="24"/>
          <w:szCs w:val="24"/>
        </w:rPr>
        <w:t>services</w:t>
      </w:r>
      <w:proofErr w:type="gramEnd"/>
    </w:p>
    <w:p w14:paraId="2FBED920" w14:textId="29E76D57" w:rsidR="0069389A" w:rsidRPr="00232D1D" w:rsidRDefault="005E44C3" w:rsidP="00232D1D">
      <w:pPr>
        <w:pStyle w:val="ListParagraph"/>
        <w:numPr>
          <w:ilvl w:val="0"/>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Expand programs and </w:t>
      </w:r>
      <w:proofErr w:type="gramStart"/>
      <w:r w:rsidRPr="00232D1D">
        <w:rPr>
          <w:rStyle w:val="Strong"/>
          <w:rFonts w:ascii="Times New Roman" w:hAnsi="Times New Roman" w:cs="Times New Roman"/>
          <w:b w:val="0"/>
          <w:bCs w:val="0"/>
          <w:sz w:val="24"/>
          <w:szCs w:val="24"/>
        </w:rPr>
        <w:t>services</w:t>
      </w:r>
      <w:proofErr w:type="gramEnd"/>
    </w:p>
    <w:p w14:paraId="5BE16713" w14:textId="38A5FA45" w:rsidR="005E44C3" w:rsidRPr="00232D1D" w:rsidRDefault="005E44C3"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Implement a chore voucher </w:t>
      </w:r>
      <w:proofErr w:type="gramStart"/>
      <w:r w:rsidRPr="00232D1D">
        <w:rPr>
          <w:rStyle w:val="Strong"/>
          <w:rFonts w:ascii="Times New Roman" w:hAnsi="Times New Roman" w:cs="Times New Roman"/>
          <w:b w:val="0"/>
          <w:bCs w:val="0"/>
          <w:sz w:val="24"/>
          <w:szCs w:val="24"/>
        </w:rPr>
        <w:t>program</w:t>
      </w:r>
      <w:proofErr w:type="gramEnd"/>
    </w:p>
    <w:p w14:paraId="6C324060" w14:textId="0D076973" w:rsidR="005E44C3" w:rsidRPr="00232D1D" w:rsidRDefault="00141806"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E</w:t>
      </w:r>
      <w:r w:rsidR="000E5B9D" w:rsidRPr="00232D1D">
        <w:rPr>
          <w:rStyle w:val="Strong"/>
          <w:rFonts w:ascii="Times New Roman" w:hAnsi="Times New Roman" w:cs="Times New Roman"/>
          <w:b w:val="0"/>
          <w:bCs w:val="0"/>
          <w:sz w:val="24"/>
          <w:szCs w:val="24"/>
        </w:rPr>
        <w:t>xplore</w:t>
      </w:r>
      <w:r w:rsidR="00E62DA6" w:rsidRPr="00232D1D">
        <w:rPr>
          <w:rStyle w:val="Strong"/>
          <w:rFonts w:ascii="Times New Roman" w:hAnsi="Times New Roman" w:cs="Times New Roman"/>
          <w:b w:val="0"/>
          <w:bCs w:val="0"/>
          <w:sz w:val="24"/>
          <w:szCs w:val="24"/>
        </w:rPr>
        <w:t xml:space="preserve"> creation of</w:t>
      </w:r>
      <w:r w:rsidR="000E5B9D" w:rsidRPr="00232D1D">
        <w:rPr>
          <w:rStyle w:val="Strong"/>
          <w:rFonts w:ascii="Times New Roman" w:hAnsi="Times New Roman" w:cs="Times New Roman"/>
          <w:b w:val="0"/>
          <w:bCs w:val="0"/>
          <w:sz w:val="24"/>
          <w:szCs w:val="24"/>
        </w:rPr>
        <w:t xml:space="preserve"> </w:t>
      </w:r>
      <w:r w:rsidRPr="00232D1D">
        <w:rPr>
          <w:rStyle w:val="Strong"/>
          <w:rFonts w:ascii="Times New Roman" w:hAnsi="Times New Roman" w:cs="Times New Roman"/>
          <w:b w:val="0"/>
          <w:bCs w:val="0"/>
          <w:sz w:val="24"/>
          <w:szCs w:val="24"/>
        </w:rPr>
        <w:t>a restaurant voucher program</w:t>
      </w:r>
    </w:p>
    <w:p w14:paraId="210819AA" w14:textId="7FC76FC6" w:rsidR="0008469F" w:rsidRPr="00232D1D" w:rsidRDefault="00DA7A8B" w:rsidP="00232D1D">
      <w:pPr>
        <w:pStyle w:val="ListParagraph"/>
        <w:numPr>
          <w:ilvl w:val="0"/>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Maintain current services and programs</w:t>
      </w:r>
      <w:r w:rsidR="00C80AEA" w:rsidRPr="00232D1D">
        <w:rPr>
          <w:rStyle w:val="Strong"/>
          <w:rFonts w:ascii="Times New Roman" w:hAnsi="Times New Roman" w:cs="Times New Roman"/>
          <w:b w:val="0"/>
          <w:bCs w:val="0"/>
          <w:sz w:val="24"/>
          <w:szCs w:val="24"/>
        </w:rPr>
        <w:t xml:space="preserve"> using OAA and SFSS funds</w:t>
      </w:r>
      <w:r w:rsidR="00102DCB" w:rsidRPr="00232D1D">
        <w:rPr>
          <w:rStyle w:val="Strong"/>
          <w:rFonts w:ascii="Times New Roman" w:hAnsi="Times New Roman" w:cs="Times New Roman"/>
          <w:b w:val="0"/>
          <w:bCs w:val="0"/>
          <w:sz w:val="24"/>
          <w:szCs w:val="24"/>
        </w:rPr>
        <w:t xml:space="preserve"> </w:t>
      </w:r>
      <w:r w:rsidR="00262487" w:rsidRPr="00232D1D">
        <w:rPr>
          <w:rStyle w:val="Strong"/>
          <w:rFonts w:ascii="Times New Roman" w:hAnsi="Times New Roman" w:cs="Times New Roman"/>
          <w:b w:val="0"/>
          <w:bCs w:val="0"/>
          <w:sz w:val="24"/>
          <w:szCs w:val="24"/>
        </w:rPr>
        <w:t>to help maintain older adult independence through</w:t>
      </w:r>
      <w:r w:rsidR="00102DCB" w:rsidRPr="00232D1D">
        <w:rPr>
          <w:rStyle w:val="Strong"/>
          <w:rFonts w:ascii="Times New Roman" w:hAnsi="Times New Roman" w:cs="Times New Roman"/>
          <w:b w:val="0"/>
          <w:bCs w:val="0"/>
          <w:sz w:val="24"/>
          <w:szCs w:val="24"/>
        </w:rPr>
        <w:t>:</w:t>
      </w:r>
    </w:p>
    <w:p w14:paraId="1CFCCBEB" w14:textId="219F7C69" w:rsidR="00C80AEA" w:rsidRPr="00232D1D" w:rsidRDefault="005D7552" w:rsidP="00232D1D">
      <w:pPr>
        <w:pStyle w:val="ListParagraph"/>
        <w:numPr>
          <w:ilvl w:val="1"/>
          <w:numId w:val="6"/>
        </w:numPr>
        <w:jc w:val="both"/>
        <w:rPr>
          <w:rStyle w:val="Strong"/>
          <w:rFonts w:ascii="Times New Roman" w:hAnsi="Times New Roman" w:cs="Times New Roman"/>
          <w:b w:val="0"/>
          <w:bCs w:val="0"/>
          <w:sz w:val="24"/>
          <w:szCs w:val="24"/>
        </w:rPr>
      </w:pPr>
      <w:r w:rsidRPr="00232D1D">
        <w:rPr>
          <w:rStyle w:val="Strong"/>
          <w:rFonts w:ascii="Times New Roman" w:hAnsi="Times New Roman" w:cs="Times New Roman"/>
          <w:b w:val="0"/>
          <w:bCs w:val="0"/>
          <w:sz w:val="24"/>
          <w:szCs w:val="24"/>
        </w:rPr>
        <w:t xml:space="preserve">Project </w:t>
      </w:r>
      <w:r w:rsidR="00102DCB" w:rsidRPr="00232D1D">
        <w:rPr>
          <w:rStyle w:val="Strong"/>
          <w:rFonts w:ascii="Times New Roman" w:hAnsi="Times New Roman" w:cs="Times New Roman"/>
          <w:b w:val="0"/>
          <w:bCs w:val="0"/>
          <w:sz w:val="24"/>
          <w:szCs w:val="24"/>
        </w:rPr>
        <w:t xml:space="preserve">HelpMATE, Project SMILE, Outback Express, Legal Assistance, Ombudsman, </w:t>
      </w:r>
      <w:r w:rsidR="008A6C6B" w:rsidRPr="00232D1D">
        <w:rPr>
          <w:rStyle w:val="Strong"/>
          <w:rFonts w:ascii="Times New Roman" w:hAnsi="Times New Roman" w:cs="Times New Roman"/>
          <w:b w:val="0"/>
          <w:bCs w:val="0"/>
          <w:sz w:val="24"/>
          <w:szCs w:val="24"/>
        </w:rPr>
        <w:t>Caregiving</w:t>
      </w:r>
      <w:r w:rsidR="004A1DA3" w:rsidRPr="00232D1D">
        <w:rPr>
          <w:rStyle w:val="Strong"/>
          <w:rFonts w:ascii="Times New Roman" w:hAnsi="Times New Roman" w:cs="Times New Roman"/>
          <w:b w:val="0"/>
          <w:bCs w:val="0"/>
          <w:sz w:val="24"/>
          <w:szCs w:val="24"/>
        </w:rPr>
        <w:t>/</w:t>
      </w:r>
      <w:r w:rsidR="00102DCB" w:rsidRPr="00232D1D">
        <w:rPr>
          <w:rStyle w:val="Strong"/>
          <w:rFonts w:ascii="Times New Roman" w:hAnsi="Times New Roman" w:cs="Times New Roman"/>
          <w:b w:val="0"/>
          <w:bCs w:val="0"/>
          <w:sz w:val="24"/>
          <w:szCs w:val="24"/>
        </w:rPr>
        <w:t>Caregiver Respite</w:t>
      </w:r>
      <w:r w:rsidR="004A1DA3" w:rsidRPr="00232D1D">
        <w:rPr>
          <w:rStyle w:val="Strong"/>
          <w:rFonts w:ascii="Times New Roman" w:hAnsi="Times New Roman" w:cs="Times New Roman"/>
          <w:b w:val="0"/>
          <w:bCs w:val="0"/>
          <w:sz w:val="24"/>
          <w:szCs w:val="24"/>
        </w:rPr>
        <w:t>,</w:t>
      </w:r>
      <w:r w:rsidR="00E71B13" w:rsidRPr="00232D1D">
        <w:rPr>
          <w:rStyle w:val="Strong"/>
          <w:rFonts w:ascii="Times New Roman" w:hAnsi="Times New Roman" w:cs="Times New Roman"/>
          <w:b w:val="0"/>
          <w:bCs w:val="0"/>
          <w:sz w:val="24"/>
          <w:szCs w:val="24"/>
        </w:rPr>
        <w:t xml:space="preserve"> Homemaker</w:t>
      </w:r>
      <w:r w:rsidR="00741415" w:rsidRPr="00232D1D">
        <w:rPr>
          <w:rStyle w:val="Strong"/>
          <w:rFonts w:ascii="Times New Roman" w:hAnsi="Times New Roman" w:cs="Times New Roman"/>
          <w:b w:val="0"/>
          <w:bCs w:val="0"/>
          <w:sz w:val="24"/>
          <w:szCs w:val="24"/>
        </w:rPr>
        <w:t>,</w:t>
      </w:r>
      <w:r w:rsidR="006F4C97" w:rsidRPr="00232D1D">
        <w:rPr>
          <w:rStyle w:val="Strong"/>
          <w:rFonts w:ascii="Times New Roman" w:hAnsi="Times New Roman" w:cs="Times New Roman"/>
          <w:b w:val="0"/>
          <w:bCs w:val="0"/>
          <w:sz w:val="24"/>
          <w:szCs w:val="24"/>
        </w:rPr>
        <w:t xml:space="preserve"> Information &amp; Referrals,</w:t>
      </w:r>
      <w:r w:rsidR="004A1DA3" w:rsidRPr="00232D1D">
        <w:rPr>
          <w:rStyle w:val="Strong"/>
          <w:rFonts w:ascii="Times New Roman" w:hAnsi="Times New Roman" w:cs="Times New Roman"/>
          <w:b w:val="0"/>
          <w:bCs w:val="0"/>
          <w:sz w:val="24"/>
          <w:szCs w:val="24"/>
        </w:rPr>
        <w:t xml:space="preserve"> </w:t>
      </w:r>
      <w:r w:rsidR="00F0043A" w:rsidRPr="00232D1D">
        <w:rPr>
          <w:rStyle w:val="Strong"/>
          <w:rFonts w:ascii="Times New Roman" w:hAnsi="Times New Roman" w:cs="Times New Roman"/>
          <w:b w:val="0"/>
          <w:bCs w:val="0"/>
          <w:sz w:val="24"/>
          <w:szCs w:val="24"/>
        </w:rPr>
        <w:t xml:space="preserve">and </w:t>
      </w:r>
      <w:r w:rsidR="00D42F78" w:rsidRPr="00232D1D">
        <w:rPr>
          <w:rStyle w:val="Strong"/>
          <w:rFonts w:ascii="Times New Roman" w:hAnsi="Times New Roman" w:cs="Times New Roman"/>
          <w:b w:val="0"/>
          <w:bCs w:val="0"/>
          <w:sz w:val="24"/>
          <w:szCs w:val="24"/>
        </w:rPr>
        <w:t>Grandparent</w:t>
      </w:r>
      <w:r w:rsidR="006F4C97" w:rsidRPr="00232D1D">
        <w:rPr>
          <w:rStyle w:val="Strong"/>
          <w:rFonts w:ascii="Times New Roman" w:hAnsi="Times New Roman" w:cs="Times New Roman"/>
          <w:b w:val="0"/>
          <w:bCs w:val="0"/>
          <w:sz w:val="24"/>
          <w:szCs w:val="24"/>
        </w:rPr>
        <w:t>ing</w:t>
      </w:r>
      <w:r w:rsidR="00D42F78" w:rsidRPr="00232D1D">
        <w:rPr>
          <w:rStyle w:val="Strong"/>
          <w:rFonts w:ascii="Times New Roman" w:hAnsi="Times New Roman" w:cs="Times New Roman"/>
          <w:b w:val="0"/>
          <w:bCs w:val="0"/>
          <w:sz w:val="24"/>
          <w:szCs w:val="24"/>
        </w:rPr>
        <w:t xml:space="preserve"> </w:t>
      </w:r>
      <w:proofErr w:type="gramStart"/>
      <w:r w:rsidR="003C57C7" w:rsidRPr="00232D1D">
        <w:rPr>
          <w:rStyle w:val="Strong"/>
          <w:rFonts w:ascii="Times New Roman" w:hAnsi="Times New Roman" w:cs="Times New Roman"/>
          <w:b w:val="0"/>
          <w:bCs w:val="0"/>
          <w:sz w:val="24"/>
          <w:szCs w:val="24"/>
        </w:rPr>
        <w:t>supports</w:t>
      </w:r>
      <w:proofErr w:type="gramEnd"/>
    </w:p>
    <w:p w14:paraId="7D58CC25" w14:textId="0F9D7D47" w:rsidR="00A042E0" w:rsidRDefault="00A042E0">
      <w:pPr>
        <w:rPr>
          <w:rStyle w:val="Strong"/>
          <w:b w:val="0"/>
          <w:bCs w:val="0"/>
        </w:rPr>
      </w:pPr>
      <w:r>
        <w:rPr>
          <w:rStyle w:val="Strong"/>
          <w:b w:val="0"/>
          <w:bCs w:val="0"/>
        </w:rPr>
        <w:br w:type="page"/>
      </w:r>
    </w:p>
    <w:p w14:paraId="27DBCC2F" w14:textId="15A60715" w:rsidR="00A042E0" w:rsidRPr="00C8254C" w:rsidRDefault="00A042E0" w:rsidP="00E42DB0">
      <w:pPr>
        <w:pStyle w:val="Heading1"/>
        <w:rPr>
          <w:rStyle w:val="Strong"/>
          <w:rFonts w:ascii="Times New Roman" w:hAnsi="Times New Roman" w:cs="Times New Roman"/>
          <w:b w:val="0"/>
        </w:rPr>
      </w:pPr>
      <w:bookmarkStart w:id="3" w:name="_Toc130291145"/>
      <w:r w:rsidRPr="00C8254C">
        <w:rPr>
          <w:rStyle w:val="Strong"/>
          <w:rFonts w:ascii="Times New Roman" w:hAnsi="Times New Roman" w:cs="Times New Roman"/>
          <w:b w:val="0"/>
        </w:rPr>
        <w:lastRenderedPageBreak/>
        <w:t>Section II: Public Input</w:t>
      </w:r>
      <w:bookmarkEnd w:id="3"/>
    </w:p>
    <w:p w14:paraId="1FB499CE" w14:textId="7792F9F2" w:rsidR="005C65C4" w:rsidRDefault="007E1FC9" w:rsidP="001A65CA">
      <w:pPr>
        <w:jc w:val="both"/>
        <w:rPr>
          <w:rStyle w:val="Strong"/>
          <w:rFonts w:ascii="Times New Roman" w:hAnsi="Times New Roman" w:cs="Times New Roman"/>
          <w:b w:val="0"/>
          <w:bCs w:val="0"/>
          <w:sz w:val="24"/>
          <w:szCs w:val="24"/>
        </w:rPr>
      </w:pPr>
      <w:r w:rsidRPr="00C8254C">
        <w:rPr>
          <w:rStyle w:val="Strong"/>
          <w:rFonts w:ascii="Times New Roman" w:hAnsi="Times New Roman" w:cs="Times New Roman"/>
          <w:b w:val="0"/>
          <w:bCs w:val="0"/>
          <w:sz w:val="24"/>
          <w:szCs w:val="24"/>
        </w:rPr>
        <w:t>East Central AAA held three public input meetin</w:t>
      </w:r>
      <w:r w:rsidR="00DA0665" w:rsidRPr="00C8254C">
        <w:rPr>
          <w:rStyle w:val="Strong"/>
          <w:rFonts w:ascii="Times New Roman" w:hAnsi="Times New Roman" w:cs="Times New Roman"/>
          <w:b w:val="0"/>
          <w:bCs w:val="0"/>
          <w:sz w:val="24"/>
          <w:szCs w:val="24"/>
        </w:rPr>
        <w:t>g</w:t>
      </w:r>
      <w:r w:rsidR="00C8254C">
        <w:rPr>
          <w:rStyle w:val="Strong"/>
          <w:rFonts w:ascii="Times New Roman" w:hAnsi="Times New Roman" w:cs="Times New Roman"/>
          <w:b w:val="0"/>
          <w:bCs w:val="0"/>
          <w:sz w:val="24"/>
          <w:szCs w:val="24"/>
        </w:rPr>
        <w:t>s</w:t>
      </w:r>
      <w:r w:rsidR="001A65CA">
        <w:rPr>
          <w:rStyle w:val="Strong"/>
          <w:rFonts w:ascii="Times New Roman" w:hAnsi="Times New Roman" w:cs="Times New Roman"/>
          <w:b w:val="0"/>
          <w:bCs w:val="0"/>
          <w:sz w:val="24"/>
          <w:szCs w:val="24"/>
        </w:rPr>
        <w:t>, two were held on March 1</w:t>
      </w:r>
      <w:r w:rsidR="001A65CA" w:rsidRPr="001A65CA">
        <w:rPr>
          <w:rStyle w:val="Strong"/>
          <w:rFonts w:ascii="Times New Roman" w:hAnsi="Times New Roman" w:cs="Times New Roman"/>
          <w:b w:val="0"/>
          <w:bCs w:val="0"/>
          <w:sz w:val="24"/>
          <w:szCs w:val="24"/>
          <w:vertAlign w:val="superscript"/>
        </w:rPr>
        <w:t>st</w:t>
      </w:r>
      <w:r w:rsidR="001A65CA">
        <w:rPr>
          <w:rStyle w:val="Strong"/>
          <w:rFonts w:ascii="Times New Roman" w:hAnsi="Times New Roman" w:cs="Times New Roman"/>
          <w:b w:val="0"/>
          <w:bCs w:val="0"/>
          <w:sz w:val="24"/>
          <w:szCs w:val="24"/>
        </w:rPr>
        <w:t>, and the other was held on March 17</w:t>
      </w:r>
      <w:r w:rsidR="001A65CA" w:rsidRPr="001A65CA">
        <w:rPr>
          <w:rStyle w:val="Strong"/>
          <w:rFonts w:ascii="Times New Roman" w:hAnsi="Times New Roman" w:cs="Times New Roman"/>
          <w:b w:val="0"/>
          <w:bCs w:val="0"/>
          <w:sz w:val="24"/>
          <w:szCs w:val="24"/>
          <w:vertAlign w:val="superscript"/>
        </w:rPr>
        <w:t>th</w:t>
      </w:r>
      <w:r w:rsidR="001A65CA">
        <w:rPr>
          <w:rStyle w:val="Strong"/>
          <w:rFonts w:ascii="Times New Roman" w:hAnsi="Times New Roman" w:cs="Times New Roman"/>
          <w:b w:val="0"/>
          <w:bCs w:val="0"/>
          <w:sz w:val="24"/>
          <w:szCs w:val="24"/>
        </w:rPr>
        <w:t xml:space="preserve">. </w:t>
      </w:r>
      <w:r w:rsidR="003541B5">
        <w:rPr>
          <w:rStyle w:val="Strong"/>
          <w:rFonts w:ascii="Times New Roman" w:hAnsi="Times New Roman" w:cs="Times New Roman"/>
          <w:b w:val="0"/>
          <w:bCs w:val="0"/>
          <w:sz w:val="24"/>
          <w:szCs w:val="24"/>
        </w:rPr>
        <w:t xml:space="preserve">All three meetings along with </w:t>
      </w:r>
      <w:r w:rsidR="009E741D">
        <w:rPr>
          <w:rStyle w:val="Strong"/>
          <w:rFonts w:ascii="Times New Roman" w:hAnsi="Times New Roman" w:cs="Times New Roman"/>
          <w:b w:val="0"/>
          <w:bCs w:val="0"/>
          <w:sz w:val="24"/>
          <w:szCs w:val="24"/>
        </w:rPr>
        <w:t>Community Conversation Surveys distributed throughout the region</w:t>
      </w:r>
      <w:r w:rsidR="00735749">
        <w:rPr>
          <w:rStyle w:val="Strong"/>
          <w:rFonts w:ascii="Times New Roman" w:hAnsi="Times New Roman" w:cs="Times New Roman"/>
          <w:b w:val="0"/>
          <w:bCs w:val="0"/>
          <w:sz w:val="24"/>
          <w:szCs w:val="24"/>
        </w:rPr>
        <w:t xml:space="preserve">, provided feedback on </w:t>
      </w:r>
      <w:r w:rsidR="00697256">
        <w:rPr>
          <w:rStyle w:val="Strong"/>
          <w:rFonts w:ascii="Times New Roman" w:hAnsi="Times New Roman" w:cs="Times New Roman"/>
          <w:b w:val="0"/>
          <w:bCs w:val="0"/>
          <w:sz w:val="24"/>
          <w:szCs w:val="24"/>
        </w:rPr>
        <w:t xml:space="preserve">the AAA’s services and programs. The results will help guide efforts in the coming four years to </w:t>
      </w:r>
      <w:r w:rsidR="00830B8B">
        <w:rPr>
          <w:rStyle w:val="Strong"/>
          <w:rFonts w:ascii="Times New Roman" w:hAnsi="Times New Roman" w:cs="Times New Roman"/>
          <w:b w:val="0"/>
          <w:bCs w:val="0"/>
          <w:sz w:val="24"/>
          <w:szCs w:val="24"/>
        </w:rPr>
        <w:t xml:space="preserve">improve and expand </w:t>
      </w:r>
      <w:r w:rsidR="00812D0A">
        <w:rPr>
          <w:rStyle w:val="Strong"/>
          <w:rFonts w:ascii="Times New Roman" w:hAnsi="Times New Roman" w:cs="Times New Roman"/>
          <w:b w:val="0"/>
          <w:bCs w:val="0"/>
          <w:sz w:val="24"/>
          <w:szCs w:val="24"/>
        </w:rPr>
        <w:t xml:space="preserve">assistance to the older adult population in the region. </w:t>
      </w:r>
    </w:p>
    <w:p w14:paraId="657C7D95" w14:textId="35FEDDA0" w:rsidR="002B3445" w:rsidRDefault="002B3445"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The first meeting held on March </w:t>
      </w:r>
      <w:r w:rsidR="002F12CE">
        <w:rPr>
          <w:rStyle w:val="Strong"/>
          <w:rFonts w:ascii="Times New Roman" w:hAnsi="Times New Roman" w:cs="Times New Roman"/>
          <w:b w:val="0"/>
          <w:bCs w:val="0"/>
          <w:sz w:val="24"/>
          <w:szCs w:val="24"/>
        </w:rPr>
        <w:t>1,</w:t>
      </w:r>
      <w:r w:rsidR="002F12CE">
        <w:rPr>
          <w:rStyle w:val="Strong"/>
          <w:rFonts w:ascii="Times New Roman" w:hAnsi="Times New Roman" w:cs="Times New Roman"/>
          <w:b w:val="0"/>
          <w:bCs w:val="0"/>
          <w:sz w:val="24"/>
          <w:szCs w:val="24"/>
          <w:vertAlign w:val="superscript"/>
        </w:rPr>
        <w:t xml:space="preserve"> </w:t>
      </w:r>
      <w:r w:rsidR="002F12CE">
        <w:rPr>
          <w:rStyle w:val="Strong"/>
          <w:rFonts w:ascii="Times New Roman" w:hAnsi="Times New Roman" w:cs="Times New Roman"/>
          <w:b w:val="0"/>
          <w:bCs w:val="0"/>
          <w:sz w:val="24"/>
          <w:szCs w:val="24"/>
        </w:rPr>
        <w:t>2023</w:t>
      </w:r>
      <w:r w:rsidR="008F71B8">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was attended by </w:t>
      </w:r>
      <w:r w:rsidR="000E11C0">
        <w:rPr>
          <w:rStyle w:val="Strong"/>
          <w:rFonts w:ascii="Times New Roman" w:hAnsi="Times New Roman" w:cs="Times New Roman"/>
          <w:b w:val="0"/>
          <w:bCs w:val="0"/>
          <w:sz w:val="24"/>
          <w:szCs w:val="24"/>
        </w:rPr>
        <w:t>11 older adults</w:t>
      </w:r>
      <w:r w:rsidR="00610122">
        <w:rPr>
          <w:rStyle w:val="Strong"/>
          <w:rFonts w:ascii="Times New Roman" w:hAnsi="Times New Roman" w:cs="Times New Roman"/>
          <w:b w:val="0"/>
          <w:bCs w:val="0"/>
          <w:sz w:val="24"/>
          <w:szCs w:val="24"/>
        </w:rPr>
        <w:t>.</w:t>
      </w:r>
      <w:r w:rsidR="00255629">
        <w:rPr>
          <w:rStyle w:val="Strong"/>
          <w:rFonts w:ascii="Times New Roman" w:hAnsi="Times New Roman" w:cs="Times New Roman"/>
          <w:b w:val="0"/>
          <w:bCs w:val="0"/>
          <w:sz w:val="24"/>
          <w:szCs w:val="24"/>
        </w:rPr>
        <w:t xml:space="preserve"> </w:t>
      </w:r>
      <w:r w:rsidR="00610122">
        <w:rPr>
          <w:rStyle w:val="Strong"/>
          <w:rFonts w:ascii="Times New Roman" w:hAnsi="Times New Roman" w:cs="Times New Roman"/>
          <w:b w:val="0"/>
          <w:bCs w:val="0"/>
          <w:sz w:val="24"/>
          <w:szCs w:val="24"/>
        </w:rPr>
        <w:t>Ten</w:t>
      </w:r>
      <w:r w:rsidR="00255629">
        <w:rPr>
          <w:rStyle w:val="Strong"/>
          <w:rFonts w:ascii="Times New Roman" w:hAnsi="Times New Roman" w:cs="Times New Roman"/>
          <w:b w:val="0"/>
          <w:bCs w:val="0"/>
          <w:sz w:val="24"/>
          <w:szCs w:val="24"/>
        </w:rPr>
        <w:t xml:space="preserve"> of which are </w:t>
      </w:r>
      <w:r w:rsidR="009340C9">
        <w:rPr>
          <w:rStyle w:val="Strong"/>
          <w:rFonts w:ascii="Times New Roman" w:hAnsi="Times New Roman" w:cs="Times New Roman"/>
          <w:b w:val="0"/>
          <w:bCs w:val="0"/>
          <w:sz w:val="24"/>
          <w:szCs w:val="24"/>
        </w:rPr>
        <w:t xml:space="preserve">program </w:t>
      </w:r>
      <w:r w:rsidR="00255629">
        <w:rPr>
          <w:rStyle w:val="Strong"/>
          <w:rFonts w:ascii="Times New Roman" w:hAnsi="Times New Roman" w:cs="Times New Roman"/>
          <w:b w:val="0"/>
          <w:bCs w:val="0"/>
          <w:sz w:val="24"/>
          <w:szCs w:val="24"/>
        </w:rPr>
        <w:t>participants, and the other</w:t>
      </w:r>
      <w:r w:rsidR="00610122">
        <w:rPr>
          <w:rStyle w:val="Strong"/>
          <w:rFonts w:ascii="Times New Roman" w:hAnsi="Times New Roman" w:cs="Times New Roman"/>
          <w:b w:val="0"/>
          <w:bCs w:val="0"/>
          <w:sz w:val="24"/>
          <w:szCs w:val="24"/>
        </w:rPr>
        <w:t xml:space="preserve"> one</w:t>
      </w:r>
      <w:r w:rsidR="00255629">
        <w:rPr>
          <w:rStyle w:val="Strong"/>
          <w:rFonts w:ascii="Times New Roman" w:hAnsi="Times New Roman" w:cs="Times New Roman"/>
          <w:b w:val="0"/>
          <w:bCs w:val="0"/>
          <w:sz w:val="24"/>
          <w:szCs w:val="24"/>
        </w:rPr>
        <w:t xml:space="preserve"> is the Senior Services Coordinator</w:t>
      </w:r>
      <w:r w:rsidR="00610122">
        <w:rPr>
          <w:rStyle w:val="Strong"/>
          <w:rFonts w:ascii="Times New Roman" w:hAnsi="Times New Roman" w:cs="Times New Roman"/>
          <w:b w:val="0"/>
          <w:bCs w:val="0"/>
          <w:sz w:val="24"/>
          <w:szCs w:val="24"/>
        </w:rPr>
        <w:t xml:space="preserve"> for ECCOG.</w:t>
      </w:r>
      <w:r w:rsidR="009D1116">
        <w:rPr>
          <w:rStyle w:val="Strong"/>
          <w:rFonts w:ascii="Times New Roman" w:hAnsi="Times New Roman" w:cs="Times New Roman"/>
          <w:b w:val="0"/>
          <w:bCs w:val="0"/>
          <w:sz w:val="24"/>
          <w:szCs w:val="24"/>
        </w:rPr>
        <w:t xml:space="preserve"> </w:t>
      </w:r>
      <w:r w:rsidR="00610122">
        <w:rPr>
          <w:rStyle w:val="Strong"/>
          <w:rFonts w:ascii="Times New Roman" w:hAnsi="Times New Roman" w:cs="Times New Roman"/>
          <w:b w:val="0"/>
          <w:bCs w:val="0"/>
          <w:sz w:val="24"/>
          <w:szCs w:val="24"/>
        </w:rPr>
        <w:t>T</w:t>
      </w:r>
      <w:r w:rsidR="009D1116">
        <w:rPr>
          <w:rStyle w:val="Strong"/>
          <w:rFonts w:ascii="Times New Roman" w:hAnsi="Times New Roman" w:cs="Times New Roman"/>
          <w:b w:val="0"/>
          <w:bCs w:val="0"/>
          <w:sz w:val="24"/>
          <w:szCs w:val="24"/>
        </w:rPr>
        <w:t>here were also three State Unit on Aging representatives present</w:t>
      </w:r>
      <w:r w:rsidR="00610122">
        <w:rPr>
          <w:rStyle w:val="Strong"/>
          <w:rFonts w:ascii="Times New Roman" w:hAnsi="Times New Roman" w:cs="Times New Roman"/>
          <w:b w:val="0"/>
          <w:bCs w:val="0"/>
          <w:sz w:val="24"/>
          <w:szCs w:val="24"/>
        </w:rPr>
        <w:t xml:space="preserve"> for the conversation</w:t>
      </w:r>
      <w:r w:rsidR="009D1116">
        <w:rPr>
          <w:rStyle w:val="Strong"/>
          <w:rFonts w:ascii="Times New Roman" w:hAnsi="Times New Roman" w:cs="Times New Roman"/>
          <w:b w:val="0"/>
          <w:bCs w:val="0"/>
          <w:sz w:val="24"/>
          <w:szCs w:val="24"/>
        </w:rPr>
        <w:t>.</w:t>
      </w:r>
      <w:r w:rsidR="000E11C0">
        <w:rPr>
          <w:rStyle w:val="Strong"/>
          <w:rFonts w:ascii="Times New Roman" w:hAnsi="Times New Roman" w:cs="Times New Roman"/>
          <w:b w:val="0"/>
          <w:bCs w:val="0"/>
          <w:sz w:val="24"/>
          <w:szCs w:val="24"/>
        </w:rPr>
        <w:t xml:space="preserve"> The meeting was conducted </w:t>
      </w:r>
      <w:r w:rsidR="00610122">
        <w:rPr>
          <w:rStyle w:val="Strong"/>
          <w:rFonts w:ascii="Times New Roman" w:hAnsi="Times New Roman" w:cs="Times New Roman"/>
          <w:b w:val="0"/>
          <w:bCs w:val="0"/>
          <w:sz w:val="24"/>
          <w:szCs w:val="24"/>
        </w:rPr>
        <w:t>in</w:t>
      </w:r>
      <w:r w:rsidR="000E11C0">
        <w:rPr>
          <w:rStyle w:val="Strong"/>
          <w:rFonts w:ascii="Times New Roman" w:hAnsi="Times New Roman" w:cs="Times New Roman"/>
          <w:b w:val="0"/>
          <w:bCs w:val="0"/>
          <w:sz w:val="24"/>
          <w:szCs w:val="24"/>
        </w:rPr>
        <w:t xml:space="preserve"> the American Legion Post 82</w:t>
      </w:r>
      <w:r w:rsidR="005A3C18">
        <w:rPr>
          <w:rStyle w:val="Strong"/>
          <w:rFonts w:ascii="Times New Roman" w:hAnsi="Times New Roman" w:cs="Times New Roman"/>
          <w:b w:val="0"/>
          <w:bCs w:val="0"/>
          <w:sz w:val="24"/>
          <w:szCs w:val="24"/>
        </w:rPr>
        <w:t>,</w:t>
      </w:r>
      <w:r w:rsidR="00FF230D">
        <w:rPr>
          <w:rStyle w:val="Strong"/>
          <w:rFonts w:ascii="Times New Roman" w:hAnsi="Times New Roman" w:cs="Times New Roman"/>
          <w:b w:val="0"/>
          <w:bCs w:val="0"/>
          <w:sz w:val="24"/>
          <w:szCs w:val="24"/>
        </w:rPr>
        <w:t xml:space="preserve"> located at 228 </w:t>
      </w:r>
      <w:r w:rsidR="004040B9">
        <w:rPr>
          <w:rStyle w:val="Strong"/>
          <w:rFonts w:ascii="Times New Roman" w:hAnsi="Times New Roman" w:cs="Times New Roman"/>
          <w:b w:val="0"/>
          <w:bCs w:val="0"/>
          <w:sz w:val="24"/>
          <w:szCs w:val="24"/>
        </w:rPr>
        <w:t xml:space="preserve">South Banner Street, Elizabeth, CO 80107. </w:t>
      </w:r>
      <w:r w:rsidR="00BD4BAC">
        <w:rPr>
          <w:rStyle w:val="Strong"/>
          <w:rFonts w:ascii="Times New Roman" w:hAnsi="Times New Roman" w:cs="Times New Roman"/>
          <w:b w:val="0"/>
          <w:bCs w:val="0"/>
          <w:sz w:val="24"/>
          <w:szCs w:val="24"/>
        </w:rPr>
        <w:t xml:space="preserve">Senior and Transit Services Director (STS Dir.) Sean Vanous began the discussion at </w:t>
      </w:r>
      <w:r w:rsidR="00FB519C">
        <w:rPr>
          <w:rStyle w:val="Strong"/>
          <w:rFonts w:ascii="Times New Roman" w:hAnsi="Times New Roman" w:cs="Times New Roman"/>
          <w:b w:val="0"/>
          <w:bCs w:val="0"/>
          <w:sz w:val="24"/>
          <w:szCs w:val="24"/>
        </w:rPr>
        <w:t xml:space="preserve">1:12 PM to discuss services and </w:t>
      </w:r>
      <w:r w:rsidR="005A3C18">
        <w:rPr>
          <w:rStyle w:val="Strong"/>
          <w:rFonts w:ascii="Times New Roman" w:hAnsi="Times New Roman" w:cs="Times New Roman"/>
          <w:b w:val="0"/>
          <w:bCs w:val="0"/>
          <w:sz w:val="24"/>
          <w:szCs w:val="24"/>
        </w:rPr>
        <w:t>programs from</w:t>
      </w:r>
      <w:r w:rsidR="00FB519C">
        <w:rPr>
          <w:rStyle w:val="Strong"/>
          <w:rFonts w:ascii="Times New Roman" w:hAnsi="Times New Roman" w:cs="Times New Roman"/>
          <w:b w:val="0"/>
          <w:bCs w:val="0"/>
          <w:sz w:val="24"/>
          <w:szCs w:val="24"/>
        </w:rPr>
        <w:t xml:space="preserve"> the East Central AAA</w:t>
      </w:r>
      <w:r w:rsidR="00255629">
        <w:rPr>
          <w:rStyle w:val="Strong"/>
          <w:rFonts w:ascii="Times New Roman" w:hAnsi="Times New Roman" w:cs="Times New Roman"/>
          <w:b w:val="0"/>
          <w:bCs w:val="0"/>
          <w:sz w:val="24"/>
          <w:szCs w:val="24"/>
        </w:rPr>
        <w:t xml:space="preserve">. </w:t>
      </w:r>
    </w:p>
    <w:p w14:paraId="5A04EB98" w14:textId="6DCC1426" w:rsidR="002A3040" w:rsidRDefault="002A3040"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Sea</w:t>
      </w:r>
      <w:r w:rsidR="008402D8">
        <w:rPr>
          <w:rStyle w:val="Strong"/>
          <w:rFonts w:ascii="Times New Roman" w:hAnsi="Times New Roman" w:cs="Times New Roman"/>
          <w:b w:val="0"/>
          <w:bCs w:val="0"/>
          <w:sz w:val="24"/>
          <w:szCs w:val="24"/>
        </w:rPr>
        <w:t>n gave a quick introduction about the Area Agency on Agi</w:t>
      </w:r>
      <w:r w:rsidR="00173078">
        <w:rPr>
          <w:rStyle w:val="Strong"/>
          <w:rFonts w:ascii="Times New Roman" w:hAnsi="Times New Roman" w:cs="Times New Roman"/>
          <w:b w:val="0"/>
          <w:bCs w:val="0"/>
          <w:sz w:val="24"/>
          <w:szCs w:val="24"/>
        </w:rPr>
        <w:t xml:space="preserve">ng then left the floor open to comments, </w:t>
      </w:r>
      <w:r w:rsidR="005A3C18">
        <w:rPr>
          <w:rStyle w:val="Strong"/>
          <w:rFonts w:ascii="Times New Roman" w:hAnsi="Times New Roman" w:cs="Times New Roman"/>
          <w:b w:val="0"/>
          <w:bCs w:val="0"/>
          <w:sz w:val="24"/>
          <w:szCs w:val="24"/>
        </w:rPr>
        <w:t>questions,</w:t>
      </w:r>
      <w:r w:rsidR="00173078">
        <w:rPr>
          <w:rStyle w:val="Strong"/>
          <w:rFonts w:ascii="Times New Roman" w:hAnsi="Times New Roman" w:cs="Times New Roman"/>
          <w:b w:val="0"/>
          <w:bCs w:val="0"/>
          <w:sz w:val="24"/>
          <w:szCs w:val="24"/>
        </w:rPr>
        <w:t xml:space="preserve"> and suggestions from the attendees. Initially one participant asked</w:t>
      </w:r>
      <w:r w:rsidR="00C217D0">
        <w:rPr>
          <w:rStyle w:val="Strong"/>
          <w:rFonts w:ascii="Times New Roman" w:hAnsi="Times New Roman" w:cs="Times New Roman"/>
          <w:b w:val="0"/>
          <w:bCs w:val="0"/>
          <w:sz w:val="24"/>
          <w:szCs w:val="24"/>
        </w:rPr>
        <w:t xml:space="preserve"> about the transportation system and how is currently functions to their understanding. </w:t>
      </w:r>
      <w:r w:rsidR="0086641B">
        <w:rPr>
          <w:rStyle w:val="Strong"/>
          <w:rFonts w:ascii="Times New Roman" w:hAnsi="Times New Roman" w:cs="Times New Roman"/>
          <w:b w:val="0"/>
          <w:bCs w:val="0"/>
          <w:sz w:val="24"/>
          <w:szCs w:val="24"/>
        </w:rPr>
        <w:t>After a quick clarification, Sean went on to detail how the</w:t>
      </w:r>
      <w:r w:rsidR="006104CD">
        <w:rPr>
          <w:rStyle w:val="Strong"/>
          <w:rFonts w:ascii="Times New Roman" w:hAnsi="Times New Roman" w:cs="Times New Roman"/>
          <w:b w:val="0"/>
          <w:bCs w:val="0"/>
          <w:sz w:val="24"/>
          <w:szCs w:val="24"/>
        </w:rPr>
        <w:t xml:space="preserve"> buses could be used to pick-up </w:t>
      </w:r>
      <w:r w:rsidR="005A3C18">
        <w:rPr>
          <w:rStyle w:val="Strong"/>
          <w:rFonts w:ascii="Times New Roman" w:hAnsi="Times New Roman" w:cs="Times New Roman"/>
          <w:b w:val="0"/>
          <w:bCs w:val="0"/>
          <w:sz w:val="24"/>
          <w:szCs w:val="24"/>
        </w:rPr>
        <w:t>residents</w:t>
      </w:r>
      <w:r w:rsidR="006104CD">
        <w:rPr>
          <w:rStyle w:val="Strong"/>
          <w:rFonts w:ascii="Times New Roman" w:hAnsi="Times New Roman" w:cs="Times New Roman"/>
          <w:b w:val="0"/>
          <w:bCs w:val="0"/>
          <w:sz w:val="24"/>
          <w:szCs w:val="24"/>
        </w:rPr>
        <w:t xml:space="preserve"> and bring them to the meals, improving socialization and attendance. </w:t>
      </w:r>
      <w:r w:rsidR="00E72418">
        <w:rPr>
          <w:rStyle w:val="Strong"/>
          <w:rFonts w:ascii="Times New Roman" w:hAnsi="Times New Roman" w:cs="Times New Roman"/>
          <w:b w:val="0"/>
          <w:bCs w:val="0"/>
          <w:sz w:val="24"/>
          <w:szCs w:val="24"/>
        </w:rPr>
        <w:t xml:space="preserve">It was mentioned that staff capacity </w:t>
      </w:r>
      <w:r w:rsidR="003553BA">
        <w:rPr>
          <w:rStyle w:val="Strong"/>
          <w:rFonts w:ascii="Times New Roman" w:hAnsi="Times New Roman" w:cs="Times New Roman"/>
          <w:b w:val="0"/>
          <w:bCs w:val="0"/>
          <w:sz w:val="24"/>
          <w:szCs w:val="24"/>
        </w:rPr>
        <w:t>currently, may not be able to meet that need, but potential solutions could be volunteer drivers</w:t>
      </w:r>
      <w:r w:rsidR="008F71B8">
        <w:rPr>
          <w:rStyle w:val="Strong"/>
          <w:rFonts w:ascii="Times New Roman" w:hAnsi="Times New Roman" w:cs="Times New Roman"/>
          <w:b w:val="0"/>
          <w:bCs w:val="0"/>
          <w:sz w:val="24"/>
          <w:szCs w:val="24"/>
        </w:rPr>
        <w:t xml:space="preserve"> to assist on meal days. This would also </w:t>
      </w:r>
      <w:r w:rsidR="002F12CE">
        <w:rPr>
          <w:rStyle w:val="Strong"/>
          <w:rFonts w:ascii="Times New Roman" w:hAnsi="Times New Roman" w:cs="Times New Roman"/>
          <w:b w:val="0"/>
          <w:bCs w:val="0"/>
          <w:sz w:val="24"/>
          <w:szCs w:val="24"/>
        </w:rPr>
        <w:t>need to</w:t>
      </w:r>
      <w:r w:rsidR="000D21DB">
        <w:rPr>
          <w:rStyle w:val="Strong"/>
          <w:rFonts w:ascii="Times New Roman" w:hAnsi="Times New Roman" w:cs="Times New Roman"/>
          <w:b w:val="0"/>
          <w:bCs w:val="0"/>
          <w:sz w:val="24"/>
          <w:szCs w:val="24"/>
        </w:rPr>
        <w:t xml:space="preserve"> be</w:t>
      </w:r>
      <w:r w:rsidR="002F12CE">
        <w:rPr>
          <w:rStyle w:val="Strong"/>
          <w:rFonts w:ascii="Times New Roman" w:hAnsi="Times New Roman" w:cs="Times New Roman"/>
          <w:b w:val="0"/>
          <w:bCs w:val="0"/>
          <w:sz w:val="24"/>
          <w:szCs w:val="24"/>
        </w:rPr>
        <w:t xml:space="preserve"> approved by </w:t>
      </w:r>
      <w:r w:rsidR="0019429F">
        <w:rPr>
          <w:rStyle w:val="Strong"/>
          <w:rFonts w:ascii="Times New Roman" w:hAnsi="Times New Roman" w:cs="Times New Roman"/>
          <w:b w:val="0"/>
          <w:bCs w:val="0"/>
          <w:sz w:val="24"/>
          <w:szCs w:val="24"/>
        </w:rPr>
        <w:t xml:space="preserve">County Commissioners as they own the </w:t>
      </w:r>
      <w:r w:rsidR="000D21DB">
        <w:rPr>
          <w:rStyle w:val="Strong"/>
          <w:rFonts w:ascii="Times New Roman" w:hAnsi="Times New Roman" w:cs="Times New Roman"/>
          <w:b w:val="0"/>
          <w:bCs w:val="0"/>
          <w:sz w:val="24"/>
          <w:szCs w:val="24"/>
        </w:rPr>
        <w:t>vehicles,</w:t>
      </w:r>
      <w:r w:rsidR="0019429F">
        <w:rPr>
          <w:rStyle w:val="Strong"/>
          <w:rFonts w:ascii="Times New Roman" w:hAnsi="Times New Roman" w:cs="Times New Roman"/>
          <w:b w:val="0"/>
          <w:bCs w:val="0"/>
          <w:sz w:val="24"/>
          <w:szCs w:val="24"/>
        </w:rPr>
        <w:t xml:space="preserve"> and this would </w:t>
      </w:r>
      <w:r w:rsidR="000D21DB">
        <w:rPr>
          <w:rStyle w:val="Strong"/>
          <w:rFonts w:ascii="Times New Roman" w:hAnsi="Times New Roman" w:cs="Times New Roman"/>
          <w:b w:val="0"/>
          <w:bCs w:val="0"/>
          <w:sz w:val="24"/>
          <w:szCs w:val="24"/>
        </w:rPr>
        <w:t xml:space="preserve">mean more maintenance and operation costs for them to consider. </w:t>
      </w:r>
    </w:p>
    <w:p w14:paraId="0532C901" w14:textId="60597941" w:rsidR="002043C9" w:rsidRDefault="0013639A"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The conversation moved towards Project SMILE (Shared Moments In Living and Eating</w:t>
      </w:r>
      <w:r w:rsidR="00562860">
        <w:rPr>
          <w:rStyle w:val="Strong"/>
          <w:rFonts w:ascii="Times New Roman" w:hAnsi="Times New Roman" w:cs="Times New Roman"/>
          <w:b w:val="0"/>
          <w:bCs w:val="0"/>
          <w:sz w:val="24"/>
          <w:szCs w:val="24"/>
        </w:rPr>
        <w:t xml:space="preserve">), as the participants and guests had just finished a meal. </w:t>
      </w:r>
      <w:r w:rsidR="00F87A45">
        <w:rPr>
          <w:rStyle w:val="Strong"/>
          <w:rFonts w:ascii="Times New Roman" w:hAnsi="Times New Roman" w:cs="Times New Roman"/>
          <w:b w:val="0"/>
          <w:bCs w:val="0"/>
          <w:sz w:val="24"/>
          <w:szCs w:val="24"/>
        </w:rPr>
        <w:t>The d</w:t>
      </w:r>
      <w:r w:rsidR="00562860">
        <w:rPr>
          <w:rStyle w:val="Strong"/>
          <w:rFonts w:ascii="Times New Roman" w:hAnsi="Times New Roman" w:cs="Times New Roman"/>
          <w:b w:val="0"/>
          <w:bCs w:val="0"/>
          <w:sz w:val="24"/>
          <w:szCs w:val="24"/>
        </w:rPr>
        <w:t>iscussion was brief as most of those attending commented they like the menu and options</w:t>
      </w:r>
      <w:r w:rsidR="00F87A45">
        <w:rPr>
          <w:rStyle w:val="Strong"/>
          <w:rFonts w:ascii="Times New Roman" w:hAnsi="Times New Roman" w:cs="Times New Roman"/>
          <w:b w:val="0"/>
          <w:bCs w:val="0"/>
          <w:sz w:val="24"/>
          <w:szCs w:val="24"/>
        </w:rPr>
        <w:t xml:space="preserve"> provided</w:t>
      </w:r>
      <w:r w:rsidR="00B02A3B">
        <w:rPr>
          <w:rStyle w:val="Strong"/>
          <w:rFonts w:ascii="Times New Roman" w:hAnsi="Times New Roman" w:cs="Times New Roman"/>
          <w:b w:val="0"/>
          <w:bCs w:val="0"/>
          <w:sz w:val="24"/>
          <w:szCs w:val="24"/>
        </w:rPr>
        <w:t xml:space="preserve">. There was a request for some new items to be offered which included prime rib and lobster! </w:t>
      </w:r>
      <w:r w:rsidR="00F87A45">
        <w:rPr>
          <w:rStyle w:val="Strong"/>
          <w:rFonts w:ascii="Times New Roman" w:hAnsi="Times New Roman" w:cs="Times New Roman"/>
          <w:b w:val="0"/>
          <w:bCs w:val="0"/>
          <w:sz w:val="24"/>
          <w:szCs w:val="24"/>
        </w:rPr>
        <w:t xml:space="preserve">That was noted </w:t>
      </w:r>
      <w:r w:rsidR="000A4D3E">
        <w:rPr>
          <w:rStyle w:val="Strong"/>
          <w:rFonts w:ascii="Times New Roman" w:hAnsi="Times New Roman" w:cs="Times New Roman"/>
          <w:b w:val="0"/>
          <w:bCs w:val="0"/>
          <w:sz w:val="24"/>
          <w:szCs w:val="24"/>
        </w:rPr>
        <w:t xml:space="preserve">with </w:t>
      </w:r>
      <w:r w:rsidR="001335BD">
        <w:rPr>
          <w:rStyle w:val="Strong"/>
          <w:rFonts w:ascii="Times New Roman" w:hAnsi="Times New Roman" w:cs="Times New Roman"/>
          <w:b w:val="0"/>
          <w:bCs w:val="0"/>
          <w:sz w:val="24"/>
          <w:szCs w:val="24"/>
        </w:rPr>
        <w:t xml:space="preserve">excitement in the </w:t>
      </w:r>
      <w:r w:rsidR="002043C9">
        <w:rPr>
          <w:rStyle w:val="Strong"/>
          <w:rFonts w:ascii="Times New Roman" w:hAnsi="Times New Roman" w:cs="Times New Roman"/>
          <w:b w:val="0"/>
          <w:bCs w:val="0"/>
          <w:sz w:val="24"/>
          <w:szCs w:val="24"/>
        </w:rPr>
        <w:t>crowd.</w:t>
      </w:r>
    </w:p>
    <w:p w14:paraId="4C8ADF2F" w14:textId="16D14486" w:rsidR="002043C9" w:rsidRDefault="002043C9"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Following </w:t>
      </w:r>
      <w:r w:rsidR="00720E6B">
        <w:rPr>
          <w:rStyle w:val="Strong"/>
          <w:rFonts w:ascii="Times New Roman" w:hAnsi="Times New Roman" w:cs="Times New Roman"/>
          <w:b w:val="0"/>
          <w:bCs w:val="0"/>
          <w:sz w:val="24"/>
          <w:szCs w:val="24"/>
        </w:rPr>
        <w:t xml:space="preserve">the nutrition discussion, the conversation shifted towards the prospective “Community/Senior Center” that the Town of Elizabeth is working on. This is only in the preliminary planning stages as a design </w:t>
      </w:r>
      <w:r w:rsidR="00107CB6">
        <w:rPr>
          <w:rStyle w:val="Strong"/>
          <w:rFonts w:ascii="Times New Roman" w:hAnsi="Times New Roman" w:cs="Times New Roman"/>
          <w:b w:val="0"/>
          <w:bCs w:val="0"/>
          <w:sz w:val="24"/>
          <w:szCs w:val="24"/>
        </w:rPr>
        <w:t xml:space="preserve">plan has not been finalized. STS Dir. </w:t>
      </w:r>
      <w:r w:rsidR="00AD4FB8">
        <w:rPr>
          <w:rStyle w:val="Strong"/>
          <w:rFonts w:ascii="Times New Roman" w:hAnsi="Times New Roman" w:cs="Times New Roman"/>
          <w:b w:val="0"/>
          <w:bCs w:val="0"/>
          <w:sz w:val="24"/>
          <w:szCs w:val="24"/>
        </w:rPr>
        <w:t xml:space="preserve">Reassured those attending that the overall goal of that facility will be </w:t>
      </w:r>
      <w:r w:rsidR="00AA3109">
        <w:rPr>
          <w:rStyle w:val="Strong"/>
          <w:rFonts w:ascii="Times New Roman" w:hAnsi="Times New Roman" w:cs="Times New Roman"/>
          <w:b w:val="0"/>
          <w:bCs w:val="0"/>
          <w:sz w:val="24"/>
          <w:szCs w:val="24"/>
        </w:rPr>
        <w:t xml:space="preserve">to provide an all-encompassing, inclusive space for the Town of Elizabeth, including </w:t>
      </w:r>
      <w:r w:rsidR="00CF2066">
        <w:rPr>
          <w:rStyle w:val="Strong"/>
          <w:rFonts w:ascii="Times New Roman" w:hAnsi="Times New Roman" w:cs="Times New Roman"/>
          <w:b w:val="0"/>
          <w:bCs w:val="0"/>
          <w:sz w:val="24"/>
          <w:szCs w:val="24"/>
        </w:rPr>
        <w:t xml:space="preserve">the older adults. Due to a current absence of an actual senior center in Elizabeth, the older adults have not had a </w:t>
      </w:r>
      <w:r w:rsidR="004B59DE">
        <w:rPr>
          <w:rStyle w:val="Strong"/>
          <w:rFonts w:ascii="Times New Roman" w:hAnsi="Times New Roman" w:cs="Times New Roman"/>
          <w:b w:val="0"/>
          <w:bCs w:val="0"/>
          <w:sz w:val="24"/>
          <w:szCs w:val="24"/>
        </w:rPr>
        <w:t>consistent location to meet, socialize, and eat</w:t>
      </w:r>
      <w:r w:rsidR="00C13C87">
        <w:rPr>
          <w:rStyle w:val="Strong"/>
          <w:rFonts w:ascii="Times New Roman" w:hAnsi="Times New Roman" w:cs="Times New Roman"/>
          <w:b w:val="0"/>
          <w:bCs w:val="0"/>
          <w:sz w:val="24"/>
          <w:szCs w:val="24"/>
        </w:rPr>
        <w:t>. The AAA hopes to partner with the Town of Elizabeth to be able to provide meals out of that new facil</w:t>
      </w:r>
      <w:r w:rsidR="007D76C9">
        <w:rPr>
          <w:rStyle w:val="Strong"/>
          <w:rFonts w:ascii="Times New Roman" w:hAnsi="Times New Roman" w:cs="Times New Roman"/>
          <w:b w:val="0"/>
          <w:bCs w:val="0"/>
          <w:sz w:val="24"/>
          <w:szCs w:val="24"/>
        </w:rPr>
        <w:t xml:space="preserve">ity and </w:t>
      </w:r>
      <w:r w:rsidR="00A4723A">
        <w:rPr>
          <w:rStyle w:val="Strong"/>
          <w:rFonts w:ascii="Times New Roman" w:hAnsi="Times New Roman" w:cs="Times New Roman"/>
          <w:b w:val="0"/>
          <w:bCs w:val="0"/>
          <w:sz w:val="24"/>
          <w:szCs w:val="24"/>
        </w:rPr>
        <w:t>increase programs offered in Elbert County.</w:t>
      </w:r>
    </w:p>
    <w:p w14:paraId="7A672E1A" w14:textId="79BA515E" w:rsidR="00A4723A" w:rsidRDefault="00017155"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Lastly, the attendees and STS Dir., spoke about the Caregiving and Caregiver Respite services that ECCOG offers. </w:t>
      </w:r>
      <w:r w:rsidR="00596831">
        <w:rPr>
          <w:rStyle w:val="Strong"/>
          <w:rFonts w:ascii="Times New Roman" w:hAnsi="Times New Roman" w:cs="Times New Roman"/>
          <w:b w:val="0"/>
          <w:bCs w:val="0"/>
          <w:sz w:val="24"/>
          <w:szCs w:val="24"/>
        </w:rPr>
        <w:t xml:space="preserve">Sean mentioned that this service is provided through contractual agreements with </w:t>
      </w:r>
      <w:r w:rsidR="00596831">
        <w:rPr>
          <w:rStyle w:val="Strong"/>
          <w:rFonts w:ascii="Times New Roman" w:hAnsi="Times New Roman" w:cs="Times New Roman"/>
          <w:b w:val="0"/>
          <w:bCs w:val="0"/>
          <w:sz w:val="24"/>
          <w:szCs w:val="24"/>
        </w:rPr>
        <w:lastRenderedPageBreak/>
        <w:t xml:space="preserve">agencies not based </w:t>
      </w:r>
      <w:r w:rsidR="00EF190D">
        <w:rPr>
          <w:rStyle w:val="Strong"/>
          <w:rFonts w:ascii="Times New Roman" w:hAnsi="Times New Roman" w:cs="Times New Roman"/>
          <w:b w:val="0"/>
          <w:bCs w:val="0"/>
          <w:sz w:val="24"/>
          <w:szCs w:val="24"/>
        </w:rPr>
        <w:t>in Elbert County which is a limitation</w:t>
      </w:r>
      <w:r w:rsidR="00032880">
        <w:rPr>
          <w:rStyle w:val="Strong"/>
          <w:rFonts w:ascii="Times New Roman" w:hAnsi="Times New Roman" w:cs="Times New Roman"/>
          <w:b w:val="0"/>
          <w:bCs w:val="0"/>
          <w:sz w:val="24"/>
          <w:szCs w:val="24"/>
        </w:rPr>
        <w:t>. On top of that, staffing has been difficult to find more folks in the rural eastern plains</w:t>
      </w:r>
      <w:r w:rsidR="00C10E83">
        <w:rPr>
          <w:rStyle w:val="Strong"/>
          <w:rFonts w:ascii="Times New Roman" w:hAnsi="Times New Roman" w:cs="Times New Roman"/>
          <w:b w:val="0"/>
          <w:bCs w:val="0"/>
          <w:sz w:val="24"/>
          <w:szCs w:val="24"/>
        </w:rPr>
        <w:t xml:space="preserve">. </w:t>
      </w:r>
      <w:r w:rsidR="00A31C86">
        <w:rPr>
          <w:rStyle w:val="Strong"/>
          <w:rFonts w:ascii="Times New Roman" w:hAnsi="Times New Roman" w:cs="Times New Roman"/>
          <w:b w:val="0"/>
          <w:bCs w:val="0"/>
          <w:sz w:val="24"/>
          <w:szCs w:val="24"/>
        </w:rPr>
        <w:t xml:space="preserve">There is a need to find agencies that will serve Elbert County, </w:t>
      </w:r>
      <w:r w:rsidR="005D403B">
        <w:rPr>
          <w:rStyle w:val="Strong"/>
          <w:rFonts w:ascii="Times New Roman" w:hAnsi="Times New Roman" w:cs="Times New Roman"/>
          <w:b w:val="0"/>
          <w:bCs w:val="0"/>
          <w:sz w:val="24"/>
          <w:szCs w:val="24"/>
        </w:rPr>
        <w:t xml:space="preserve">and bring more homemaker, caregiving/caregiver respite and chore services to the communities. </w:t>
      </w:r>
      <w:r w:rsidR="007442B4">
        <w:rPr>
          <w:rStyle w:val="Strong"/>
          <w:rFonts w:ascii="Times New Roman" w:hAnsi="Times New Roman" w:cs="Times New Roman"/>
          <w:b w:val="0"/>
          <w:bCs w:val="0"/>
          <w:sz w:val="24"/>
          <w:szCs w:val="24"/>
        </w:rPr>
        <w:t>Sean mentioned ECCOG is looking into a chore voucher service to help fill some of this gap</w:t>
      </w:r>
      <w:r w:rsidR="00C272BD">
        <w:rPr>
          <w:rStyle w:val="Strong"/>
          <w:rFonts w:ascii="Times New Roman" w:hAnsi="Times New Roman" w:cs="Times New Roman"/>
          <w:b w:val="0"/>
          <w:bCs w:val="0"/>
          <w:sz w:val="24"/>
          <w:szCs w:val="24"/>
        </w:rPr>
        <w:t xml:space="preserve">, but that will take a little time to be approved and get things off the ground. </w:t>
      </w:r>
    </w:p>
    <w:p w14:paraId="074C3C77" w14:textId="1E41076A" w:rsidR="00C272BD" w:rsidRDefault="008B7C42"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As time approached 2:20PM Sean concluded the meeting by thanking everyone for their time and </w:t>
      </w:r>
      <w:r w:rsidR="00811C9B">
        <w:rPr>
          <w:rStyle w:val="Strong"/>
          <w:rFonts w:ascii="Times New Roman" w:hAnsi="Times New Roman" w:cs="Times New Roman"/>
          <w:b w:val="0"/>
          <w:bCs w:val="0"/>
          <w:sz w:val="24"/>
          <w:szCs w:val="24"/>
        </w:rPr>
        <w:t>requested any further input on some Community Conversation Surveys. Sean remained until all those who filled out a survey were finished and thanked them again</w:t>
      </w:r>
      <w:r w:rsidR="00915ED3">
        <w:rPr>
          <w:rStyle w:val="Strong"/>
          <w:rFonts w:ascii="Times New Roman" w:hAnsi="Times New Roman" w:cs="Times New Roman"/>
          <w:b w:val="0"/>
          <w:bCs w:val="0"/>
          <w:sz w:val="24"/>
          <w:szCs w:val="24"/>
        </w:rPr>
        <w:t xml:space="preserve"> for their input. </w:t>
      </w:r>
    </w:p>
    <w:p w14:paraId="316D3861" w14:textId="0AB7B604" w:rsidR="00915ED3" w:rsidRDefault="00915ED3"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The second </w:t>
      </w:r>
      <w:r w:rsidR="00BB77DB">
        <w:rPr>
          <w:rStyle w:val="Strong"/>
          <w:rFonts w:ascii="Times New Roman" w:hAnsi="Times New Roman" w:cs="Times New Roman"/>
          <w:b w:val="0"/>
          <w:bCs w:val="0"/>
          <w:sz w:val="24"/>
          <w:szCs w:val="24"/>
        </w:rPr>
        <w:t>public meeting was held in Limon at the H</w:t>
      </w:r>
      <w:r w:rsidR="008D5E0A">
        <w:rPr>
          <w:rStyle w:val="Strong"/>
          <w:rFonts w:ascii="Times New Roman" w:hAnsi="Times New Roman" w:cs="Times New Roman"/>
          <w:b w:val="0"/>
          <w:bCs w:val="0"/>
          <w:sz w:val="24"/>
          <w:szCs w:val="24"/>
        </w:rPr>
        <w:t xml:space="preserve">ub City </w:t>
      </w:r>
      <w:r w:rsidR="0050335A">
        <w:rPr>
          <w:rStyle w:val="Strong"/>
          <w:rFonts w:ascii="Times New Roman" w:hAnsi="Times New Roman" w:cs="Times New Roman"/>
          <w:b w:val="0"/>
          <w:bCs w:val="0"/>
          <w:sz w:val="24"/>
          <w:szCs w:val="24"/>
        </w:rPr>
        <w:t xml:space="preserve">Senior Center </w:t>
      </w:r>
      <w:r w:rsidR="001E5014">
        <w:rPr>
          <w:rStyle w:val="Strong"/>
          <w:rFonts w:ascii="Times New Roman" w:hAnsi="Times New Roman" w:cs="Times New Roman"/>
          <w:b w:val="0"/>
          <w:bCs w:val="0"/>
          <w:sz w:val="24"/>
          <w:szCs w:val="24"/>
        </w:rPr>
        <w:t>during the ECCOG board meeting</w:t>
      </w:r>
      <w:r w:rsidR="004C7723">
        <w:rPr>
          <w:rStyle w:val="Strong"/>
          <w:rFonts w:ascii="Times New Roman" w:hAnsi="Times New Roman" w:cs="Times New Roman"/>
          <w:b w:val="0"/>
          <w:bCs w:val="0"/>
          <w:sz w:val="24"/>
          <w:szCs w:val="24"/>
        </w:rPr>
        <w:t xml:space="preserve"> beginning at 7PM</w:t>
      </w:r>
      <w:r w:rsidR="001E5014">
        <w:rPr>
          <w:rStyle w:val="Strong"/>
          <w:rFonts w:ascii="Times New Roman" w:hAnsi="Times New Roman" w:cs="Times New Roman"/>
          <w:b w:val="0"/>
          <w:bCs w:val="0"/>
          <w:sz w:val="24"/>
          <w:szCs w:val="24"/>
        </w:rPr>
        <w:t xml:space="preserve">. </w:t>
      </w:r>
      <w:r w:rsidR="001A40B7">
        <w:rPr>
          <w:rStyle w:val="Strong"/>
          <w:rFonts w:ascii="Times New Roman" w:hAnsi="Times New Roman" w:cs="Times New Roman"/>
          <w:b w:val="0"/>
          <w:bCs w:val="0"/>
          <w:sz w:val="24"/>
          <w:szCs w:val="24"/>
        </w:rPr>
        <w:t xml:space="preserve">As the board oversees the work done by the East Central AAA, </w:t>
      </w:r>
      <w:r w:rsidR="005A732C">
        <w:rPr>
          <w:rStyle w:val="Strong"/>
          <w:rFonts w:ascii="Times New Roman" w:hAnsi="Times New Roman" w:cs="Times New Roman"/>
          <w:b w:val="0"/>
          <w:bCs w:val="0"/>
          <w:sz w:val="24"/>
          <w:szCs w:val="24"/>
        </w:rPr>
        <w:t xml:space="preserve">there was not a lot of discussion about the programs and services. Sean </w:t>
      </w:r>
      <w:r w:rsidR="004C7723">
        <w:rPr>
          <w:rStyle w:val="Strong"/>
          <w:rFonts w:ascii="Times New Roman" w:hAnsi="Times New Roman" w:cs="Times New Roman"/>
          <w:b w:val="0"/>
          <w:bCs w:val="0"/>
          <w:sz w:val="24"/>
          <w:szCs w:val="24"/>
        </w:rPr>
        <w:t>did talk about the conversation earlier that day</w:t>
      </w:r>
      <w:r w:rsidR="000422F2">
        <w:rPr>
          <w:rStyle w:val="Strong"/>
          <w:rFonts w:ascii="Times New Roman" w:hAnsi="Times New Roman" w:cs="Times New Roman"/>
          <w:b w:val="0"/>
          <w:bCs w:val="0"/>
          <w:sz w:val="24"/>
          <w:szCs w:val="24"/>
        </w:rPr>
        <w:t xml:space="preserve"> in Elizabeth and how there is need to expand some services like transportation</w:t>
      </w:r>
      <w:r w:rsidR="006D0D4E">
        <w:rPr>
          <w:rStyle w:val="Strong"/>
          <w:rFonts w:ascii="Times New Roman" w:hAnsi="Times New Roman" w:cs="Times New Roman"/>
          <w:b w:val="0"/>
          <w:bCs w:val="0"/>
          <w:sz w:val="24"/>
          <w:szCs w:val="24"/>
        </w:rPr>
        <w:t>, and homemaker/chore services</w:t>
      </w:r>
      <w:r w:rsidR="000D55EB">
        <w:rPr>
          <w:rStyle w:val="Strong"/>
          <w:rFonts w:ascii="Times New Roman" w:hAnsi="Times New Roman" w:cs="Times New Roman"/>
          <w:b w:val="0"/>
          <w:bCs w:val="0"/>
          <w:sz w:val="24"/>
          <w:szCs w:val="24"/>
        </w:rPr>
        <w:t xml:space="preserve">. </w:t>
      </w:r>
      <w:r w:rsidR="00B100AF">
        <w:rPr>
          <w:rStyle w:val="Strong"/>
          <w:rFonts w:ascii="Times New Roman" w:hAnsi="Times New Roman" w:cs="Times New Roman"/>
          <w:b w:val="0"/>
          <w:bCs w:val="0"/>
          <w:sz w:val="24"/>
          <w:szCs w:val="24"/>
        </w:rPr>
        <w:t xml:space="preserve">Those present are in support of these expansions to better serve </w:t>
      </w:r>
      <w:r w:rsidR="00861081">
        <w:rPr>
          <w:rStyle w:val="Strong"/>
          <w:rFonts w:ascii="Times New Roman" w:hAnsi="Times New Roman" w:cs="Times New Roman"/>
          <w:b w:val="0"/>
          <w:bCs w:val="0"/>
          <w:sz w:val="24"/>
          <w:szCs w:val="24"/>
        </w:rPr>
        <w:t>those within coverage area.</w:t>
      </w:r>
      <w:r w:rsidR="00B100AF">
        <w:rPr>
          <w:rStyle w:val="Strong"/>
          <w:rFonts w:ascii="Times New Roman" w:hAnsi="Times New Roman" w:cs="Times New Roman"/>
          <w:b w:val="0"/>
          <w:bCs w:val="0"/>
          <w:sz w:val="24"/>
          <w:szCs w:val="24"/>
        </w:rPr>
        <w:t xml:space="preserve"> </w:t>
      </w:r>
      <w:r w:rsidR="000D55EB">
        <w:rPr>
          <w:rStyle w:val="Strong"/>
          <w:rFonts w:ascii="Times New Roman" w:hAnsi="Times New Roman" w:cs="Times New Roman"/>
          <w:b w:val="0"/>
          <w:bCs w:val="0"/>
          <w:sz w:val="24"/>
          <w:szCs w:val="24"/>
        </w:rPr>
        <w:t xml:space="preserve">The </w:t>
      </w:r>
      <w:r w:rsidR="001E5014">
        <w:rPr>
          <w:rStyle w:val="Strong"/>
          <w:rFonts w:ascii="Times New Roman" w:hAnsi="Times New Roman" w:cs="Times New Roman"/>
          <w:b w:val="0"/>
          <w:bCs w:val="0"/>
          <w:sz w:val="24"/>
          <w:szCs w:val="24"/>
        </w:rPr>
        <w:t>STS Director</w:t>
      </w:r>
      <w:r w:rsidR="000D55EB">
        <w:rPr>
          <w:rStyle w:val="Strong"/>
          <w:rFonts w:ascii="Times New Roman" w:hAnsi="Times New Roman" w:cs="Times New Roman"/>
          <w:b w:val="0"/>
          <w:bCs w:val="0"/>
          <w:sz w:val="24"/>
          <w:szCs w:val="24"/>
        </w:rPr>
        <w:t xml:space="preserve"> </w:t>
      </w:r>
      <w:r w:rsidR="001E5014">
        <w:rPr>
          <w:rStyle w:val="Strong"/>
          <w:rFonts w:ascii="Times New Roman" w:hAnsi="Times New Roman" w:cs="Times New Roman"/>
          <w:b w:val="0"/>
          <w:bCs w:val="0"/>
          <w:sz w:val="24"/>
          <w:szCs w:val="24"/>
        </w:rPr>
        <w:t xml:space="preserve">asked for </w:t>
      </w:r>
      <w:r w:rsidR="00861081">
        <w:rPr>
          <w:rStyle w:val="Strong"/>
          <w:rFonts w:ascii="Times New Roman" w:hAnsi="Times New Roman" w:cs="Times New Roman"/>
          <w:b w:val="0"/>
          <w:bCs w:val="0"/>
          <w:sz w:val="24"/>
          <w:szCs w:val="24"/>
        </w:rPr>
        <w:t xml:space="preserve">the </w:t>
      </w:r>
      <w:r w:rsidR="001E5014">
        <w:rPr>
          <w:rStyle w:val="Strong"/>
          <w:rFonts w:ascii="Times New Roman" w:hAnsi="Times New Roman" w:cs="Times New Roman"/>
          <w:b w:val="0"/>
          <w:bCs w:val="0"/>
          <w:sz w:val="24"/>
          <w:szCs w:val="24"/>
        </w:rPr>
        <w:t>board members</w:t>
      </w:r>
      <w:r w:rsidR="00861081">
        <w:rPr>
          <w:rStyle w:val="Strong"/>
          <w:rFonts w:ascii="Times New Roman" w:hAnsi="Times New Roman" w:cs="Times New Roman"/>
          <w:b w:val="0"/>
          <w:bCs w:val="0"/>
          <w:sz w:val="24"/>
          <w:szCs w:val="24"/>
        </w:rPr>
        <w:t>’</w:t>
      </w:r>
      <w:r w:rsidR="001E5014">
        <w:rPr>
          <w:rStyle w:val="Strong"/>
          <w:rFonts w:ascii="Times New Roman" w:hAnsi="Times New Roman" w:cs="Times New Roman"/>
          <w:b w:val="0"/>
          <w:bCs w:val="0"/>
          <w:sz w:val="24"/>
          <w:szCs w:val="24"/>
        </w:rPr>
        <w:t xml:space="preserve"> input </w:t>
      </w:r>
      <w:r w:rsidR="00E83056">
        <w:rPr>
          <w:rStyle w:val="Strong"/>
          <w:rFonts w:ascii="Times New Roman" w:hAnsi="Times New Roman" w:cs="Times New Roman"/>
          <w:b w:val="0"/>
          <w:bCs w:val="0"/>
          <w:sz w:val="24"/>
          <w:szCs w:val="24"/>
        </w:rPr>
        <w:t>through the same Community Conversation Surveys</w:t>
      </w:r>
      <w:r w:rsidR="000D55EB">
        <w:rPr>
          <w:rStyle w:val="Strong"/>
          <w:rFonts w:ascii="Times New Roman" w:hAnsi="Times New Roman" w:cs="Times New Roman"/>
          <w:b w:val="0"/>
          <w:bCs w:val="0"/>
          <w:sz w:val="24"/>
          <w:szCs w:val="24"/>
        </w:rPr>
        <w:t>, and those responses were t</w:t>
      </w:r>
      <w:r w:rsidR="006D0D4E">
        <w:rPr>
          <w:rStyle w:val="Strong"/>
          <w:rFonts w:ascii="Times New Roman" w:hAnsi="Times New Roman" w:cs="Times New Roman"/>
          <w:b w:val="0"/>
          <w:bCs w:val="0"/>
          <w:sz w:val="24"/>
          <w:szCs w:val="24"/>
        </w:rPr>
        <w:t>allied with the other responses received</w:t>
      </w:r>
      <w:r w:rsidR="00E83056">
        <w:rPr>
          <w:rStyle w:val="Strong"/>
          <w:rFonts w:ascii="Times New Roman" w:hAnsi="Times New Roman" w:cs="Times New Roman"/>
          <w:b w:val="0"/>
          <w:bCs w:val="0"/>
          <w:sz w:val="24"/>
          <w:szCs w:val="24"/>
        </w:rPr>
        <w:t>.</w:t>
      </w:r>
    </w:p>
    <w:p w14:paraId="3D8462A9" w14:textId="0CF708ED" w:rsidR="00B460F6" w:rsidRDefault="00B460F6"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The last meeting was held on March 17, 2023, at the Stratton Senior Center located at </w:t>
      </w:r>
      <w:r w:rsidR="0088317D">
        <w:rPr>
          <w:rStyle w:val="Strong"/>
          <w:rFonts w:ascii="Times New Roman" w:hAnsi="Times New Roman" w:cs="Times New Roman"/>
          <w:b w:val="0"/>
          <w:bCs w:val="0"/>
          <w:sz w:val="24"/>
          <w:szCs w:val="24"/>
        </w:rPr>
        <w:t xml:space="preserve">132 Colorado Avenue, Stratton, CO 80836. Flyers were posted through the community at the post office, TBK Bank, and local grocery store. </w:t>
      </w:r>
      <w:r w:rsidR="00943F55">
        <w:rPr>
          <w:rStyle w:val="Strong"/>
          <w:rFonts w:ascii="Times New Roman" w:hAnsi="Times New Roman" w:cs="Times New Roman"/>
          <w:b w:val="0"/>
          <w:bCs w:val="0"/>
          <w:sz w:val="24"/>
          <w:szCs w:val="24"/>
        </w:rPr>
        <w:t xml:space="preserve">There were </w:t>
      </w:r>
      <w:r w:rsidR="005C3B59">
        <w:rPr>
          <w:rStyle w:val="Strong"/>
          <w:rFonts w:ascii="Times New Roman" w:hAnsi="Times New Roman" w:cs="Times New Roman"/>
          <w:b w:val="0"/>
          <w:bCs w:val="0"/>
          <w:sz w:val="24"/>
          <w:szCs w:val="24"/>
        </w:rPr>
        <w:t xml:space="preserve">13 attendees, 12 of which are participants in programs offered by ECCOG, and the other </w:t>
      </w:r>
      <w:r w:rsidR="00044E1B">
        <w:rPr>
          <w:rStyle w:val="Strong"/>
          <w:rFonts w:ascii="Times New Roman" w:hAnsi="Times New Roman" w:cs="Times New Roman"/>
          <w:b w:val="0"/>
          <w:bCs w:val="0"/>
          <w:sz w:val="24"/>
          <w:szCs w:val="24"/>
        </w:rPr>
        <w:t xml:space="preserve">is the Senior Services Coordinator. </w:t>
      </w:r>
    </w:p>
    <w:p w14:paraId="29A5A7F9" w14:textId="22612162" w:rsidR="00044E1B" w:rsidRDefault="00044E1B"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Discussion began with a brief introduction by Sean</w:t>
      </w:r>
      <w:r w:rsidR="00E6701A">
        <w:rPr>
          <w:rStyle w:val="Strong"/>
          <w:rFonts w:ascii="Times New Roman" w:hAnsi="Times New Roman" w:cs="Times New Roman"/>
          <w:b w:val="0"/>
          <w:bCs w:val="0"/>
          <w:sz w:val="24"/>
          <w:szCs w:val="24"/>
        </w:rPr>
        <w:t xml:space="preserve"> at 1:10PM. The floor was open for </w:t>
      </w:r>
      <w:r w:rsidR="00680CEB">
        <w:rPr>
          <w:rStyle w:val="Strong"/>
          <w:rFonts w:ascii="Times New Roman" w:hAnsi="Times New Roman" w:cs="Times New Roman"/>
          <w:b w:val="0"/>
          <w:bCs w:val="0"/>
          <w:sz w:val="24"/>
          <w:szCs w:val="24"/>
        </w:rPr>
        <w:t>all</w:t>
      </w:r>
      <w:r w:rsidR="00E6701A">
        <w:rPr>
          <w:rStyle w:val="Strong"/>
          <w:rFonts w:ascii="Times New Roman" w:hAnsi="Times New Roman" w:cs="Times New Roman"/>
          <w:b w:val="0"/>
          <w:bCs w:val="0"/>
          <w:sz w:val="24"/>
          <w:szCs w:val="24"/>
        </w:rPr>
        <w:t xml:space="preserve"> to comment or pose suggestions about programs and services. </w:t>
      </w:r>
      <w:r w:rsidR="00680CEB">
        <w:rPr>
          <w:rStyle w:val="Strong"/>
          <w:rFonts w:ascii="Times New Roman" w:hAnsi="Times New Roman" w:cs="Times New Roman"/>
          <w:b w:val="0"/>
          <w:bCs w:val="0"/>
          <w:sz w:val="24"/>
          <w:szCs w:val="24"/>
        </w:rPr>
        <w:t xml:space="preserve">The Project SMILE meal program was </w:t>
      </w:r>
      <w:r w:rsidR="001561EF">
        <w:rPr>
          <w:rStyle w:val="Strong"/>
          <w:rFonts w:ascii="Times New Roman" w:hAnsi="Times New Roman" w:cs="Times New Roman"/>
          <w:b w:val="0"/>
          <w:bCs w:val="0"/>
          <w:sz w:val="24"/>
          <w:szCs w:val="24"/>
        </w:rPr>
        <w:t xml:space="preserve">the first topic of </w:t>
      </w:r>
      <w:r w:rsidR="003C529B">
        <w:rPr>
          <w:rStyle w:val="Strong"/>
          <w:rFonts w:ascii="Times New Roman" w:hAnsi="Times New Roman" w:cs="Times New Roman"/>
          <w:b w:val="0"/>
          <w:bCs w:val="0"/>
          <w:sz w:val="24"/>
          <w:szCs w:val="24"/>
        </w:rPr>
        <w:t xml:space="preserve">interest. Again, most everyone is pleased with the menu and the diversity of offerings from month to month. </w:t>
      </w:r>
      <w:r w:rsidR="00D31174">
        <w:rPr>
          <w:rStyle w:val="Strong"/>
          <w:rFonts w:ascii="Times New Roman" w:hAnsi="Times New Roman" w:cs="Times New Roman"/>
          <w:b w:val="0"/>
          <w:bCs w:val="0"/>
          <w:sz w:val="24"/>
          <w:szCs w:val="24"/>
        </w:rPr>
        <w:t xml:space="preserve">There was a comment about how the program won’t be able to please everyone in terms of wants, </w:t>
      </w:r>
      <w:r w:rsidR="0033492C">
        <w:rPr>
          <w:rStyle w:val="Strong"/>
          <w:rFonts w:ascii="Times New Roman" w:hAnsi="Times New Roman" w:cs="Times New Roman"/>
          <w:b w:val="0"/>
          <w:bCs w:val="0"/>
          <w:sz w:val="24"/>
          <w:szCs w:val="24"/>
        </w:rPr>
        <w:t xml:space="preserve">and that is okay. </w:t>
      </w:r>
      <w:r w:rsidR="006D66D7">
        <w:rPr>
          <w:rStyle w:val="Strong"/>
          <w:rFonts w:ascii="Times New Roman" w:hAnsi="Times New Roman" w:cs="Times New Roman"/>
          <w:b w:val="0"/>
          <w:bCs w:val="0"/>
          <w:sz w:val="24"/>
          <w:szCs w:val="24"/>
        </w:rPr>
        <w:t xml:space="preserve">There is some room for improvement however, when </w:t>
      </w:r>
      <w:r w:rsidR="00894317">
        <w:rPr>
          <w:rStyle w:val="Strong"/>
          <w:rFonts w:ascii="Times New Roman" w:hAnsi="Times New Roman" w:cs="Times New Roman"/>
          <w:b w:val="0"/>
          <w:bCs w:val="0"/>
          <w:sz w:val="24"/>
          <w:szCs w:val="24"/>
        </w:rPr>
        <w:t xml:space="preserve">comparing quality and quantity to the kitchen location. </w:t>
      </w:r>
      <w:r w:rsidR="009442B5">
        <w:rPr>
          <w:rStyle w:val="Strong"/>
          <w:rFonts w:ascii="Times New Roman" w:hAnsi="Times New Roman" w:cs="Times New Roman"/>
          <w:b w:val="0"/>
          <w:bCs w:val="0"/>
          <w:sz w:val="24"/>
          <w:szCs w:val="24"/>
        </w:rPr>
        <w:t>Consideration will be taken by ECCOG staff to improve kitchen efficiency and transportation of food to Stratton</w:t>
      </w:r>
      <w:r w:rsidR="00064A41">
        <w:rPr>
          <w:rStyle w:val="Strong"/>
          <w:rFonts w:ascii="Times New Roman" w:hAnsi="Times New Roman" w:cs="Times New Roman"/>
          <w:b w:val="0"/>
          <w:bCs w:val="0"/>
          <w:sz w:val="24"/>
          <w:szCs w:val="24"/>
        </w:rPr>
        <w:t xml:space="preserve">, and all other sites across the region to increase satisfaction. </w:t>
      </w:r>
      <w:r w:rsidR="00144FBD">
        <w:rPr>
          <w:rStyle w:val="Strong"/>
          <w:rFonts w:ascii="Times New Roman" w:hAnsi="Times New Roman" w:cs="Times New Roman"/>
          <w:b w:val="0"/>
          <w:bCs w:val="0"/>
          <w:sz w:val="24"/>
          <w:szCs w:val="24"/>
        </w:rPr>
        <w:t xml:space="preserve">There was a suggestion to </w:t>
      </w:r>
      <w:r w:rsidR="00755373">
        <w:rPr>
          <w:rStyle w:val="Strong"/>
          <w:rFonts w:ascii="Times New Roman" w:hAnsi="Times New Roman" w:cs="Times New Roman"/>
          <w:b w:val="0"/>
          <w:bCs w:val="0"/>
          <w:sz w:val="24"/>
          <w:szCs w:val="24"/>
        </w:rPr>
        <w:t xml:space="preserve">have more steak, lobster, shrimp in the menu, which sounds familiar to a request from a meeting held earlier in the month. </w:t>
      </w:r>
      <w:r w:rsidR="001351CA">
        <w:rPr>
          <w:rStyle w:val="Strong"/>
          <w:rFonts w:ascii="Times New Roman" w:hAnsi="Times New Roman" w:cs="Times New Roman"/>
          <w:b w:val="0"/>
          <w:bCs w:val="0"/>
          <w:sz w:val="24"/>
          <w:szCs w:val="24"/>
        </w:rPr>
        <w:t xml:space="preserve">This was noted as well with excitement through the attendees. </w:t>
      </w:r>
    </w:p>
    <w:p w14:paraId="5973F87E" w14:textId="1B34B247" w:rsidR="001351CA" w:rsidRDefault="001351CA"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The topic shifted then towards the transportation system</w:t>
      </w:r>
      <w:r w:rsidR="007A7B47">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Outback </w:t>
      </w:r>
      <w:r w:rsidR="007A7B47">
        <w:rPr>
          <w:rStyle w:val="Strong"/>
          <w:rFonts w:ascii="Times New Roman" w:hAnsi="Times New Roman" w:cs="Times New Roman"/>
          <w:b w:val="0"/>
          <w:bCs w:val="0"/>
          <w:sz w:val="24"/>
          <w:szCs w:val="24"/>
        </w:rPr>
        <w:t>E</w:t>
      </w:r>
      <w:r>
        <w:rPr>
          <w:rStyle w:val="Strong"/>
          <w:rFonts w:ascii="Times New Roman" w:hAnsi="Times New Roman" w:cs="Times New Roman"/>
          <w:b w:val="0"/>
          <w:bCs w:val="0"/>
          <w:sz w:val="24"/>
          <w:szCs w:val="24"/>
        </w:rPr>
        <w:t>xpress</w:t>
      </w:r>
      <w:r w:rsidR="007A7B47">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w:t>
      </w:r>
      <w:r w:rsidR="007A7B47">
        <w:rPr>
          <w:rStyle w:val="Strong"/>
          <w:rFonts w:ascii="Times New Roman" w:hAnsi="Times New Roman" w:cs="Times New Roman"/>
          <w:b w:val="0"/>
          <w:bCs w:val="0"/>
          <w:sz w:val="24"/>
          <w:szCs w:val="24"/>
        </w:rPr>
        <w:t>Initially there was the request to</w:t>
      </w:r>
      <w:r w:rsidR="00DF78E1">
        <w:rPr>
          <w:rStyle w:val="Strong"/>
          <w:rFonts w:ascii="Times New Roman" w:hAnsi="Times New Roman" w:cs="Times New Roman"/>
          <w:b w:val="0"/>
          <w:bCs w:val="0"/>
          <w:sz w:val="24"/>
          <w:szCs w:val="24"/>
        </w:rPr>
        <w:t xml:space="preserve"> gather up isolated, or home-bound individuals. Th</w:t>
      </w:r>
      <w:r w:rsidR="00FB2998">
        <w:rPr>
          <w:rStyle w:val="Strong"/>
          <w:rFonts w:ascii="Times New Roman" w:hAnsi="Times New Roman" w:cs="Times New Roman"/>
          <w:b w:val="0"/>
          <w:bCs w:val="0"/>
          <w:sz w:val="24"/>
          <w:szCs w:val="24"/>
        </w:rPr>
        <w:t xml:space="preserve">is suggestion was welcomed again by Sean and is absolutely an allowable use of the vehicles. </w:t>
      </w:r>
      <w:r w:rsidR="005274D3">
        <w:rPr>
          <w:rStyle w:val="Strong"/>
          <w:rFonts w:ascii="Times New Roman" w:hAnsi="Times New Roman" w:cs="Times New Roman"/>
          <w:b w:val="0"/>
          <w:bCs w:val="0"/>
          <w:sz w:val="24"/>
          <w:szCs w:val="24"/>
        </w:rPr>
        <w:t>Similarly,</w:t>
      </w:r>
      <w:r w:rsidR="008D0EDE">
        <w:rPr>
          <w:rStyle w:val="Strong"/>
          <w:rFonts w:ascii="Times New Roman" w:hAnsi="Times New Roman" w:cs="Times New Roman"/>
          <w:b w:val="0"/>
          <w:bCs w:val="0"/>
          <w:sz w:val="24"/>
          <w:szCs w:val="24"/>
        </w:rPr>
        <w:t xml:space="preserve"> to Elbert County, this extra service would require drivers either paid or volunteer to be cleared to drive the vehicle to bring these other community members into the meal site. </w:t>
      </w:r>
      <w:r w:rsidR="002A3055">
        <w:rPr>
          <w:rStyle w:val="Strong"/>
          <w:rFonts w:ascii="Times New Roman" w:hAnsi="Times New Roman" w:cs="Times New Roman"/>
          <w:b w:val="0"/>
          <w:bCs w:val="0"/>
          <w:sz w:val="24"/>
          <w:szCs w:val="24"/>
        </w:rPr>
        <w:t xml:space="preserve">ECCOG will work towards </w:t>
      </w:r>
      <w:r w:rsidR="007A7B47">
        <w:rPr>
          <w:rStyle w:val="Strong"/>
          <w:rFonts w:ascii="Times New Roman" w:hAnsi="Times New Roman" w:cs="Times New Roman"/>
          <w:b w:val="0"/>
          <w:bCs w:val="0"/>
          <w:sz w:val="24"/>
          <w:szCs w:val="24"/>
        </w:rPr>
        <w:t>opening</w:t>
      </w:r>
      <w:r w:rsidR="002A3055">
        <w:rPr>
          <w:rStyle w:val="Strong"/>
          <w:rFonts w:ascii="Times New Roman" w:hAnsi="Times New Roman" w:cs="Times New Roman"/>
          <w:b w:val="0"/>
          <w:bCs w:val="0"/>
          <w:sz w:val="24"/>
          <w:szCs w:val="24"/>
        </w:rPr>
        <w:t xml:space="preserve"> the transit </w:t>
      </w:r>
      <w:r w:rsidR="002A3055">
        <w:rPr>
          <w:rStyle w:val="Strong"/>
          <w:rFonts w:ascii="Times New Roman" w:hAnsi="Times New Roman" w:cs="Times New Roman"/>
          <w:b w:val="0"/>
          <w:bCs w:val="0"/>
          <w:sz w:val="24"/>
          <w:szCs w:val="24"/>
        </w:rPr>
        <w:lastRenderedPageBreak/>
        <w:t xml:space="preserve">system to meet this request to bring more community members into the meal site. </w:t>
      </w:r>
      <w:r w:rsidR="00175EB5">
        <w:rPr>
          <w:rStyle w:val="Strong"/>
          <w:rFonts w:ascii="Times New Roman" w:hAnsi="Times New Roman" w:cs="Times New Roman"/>
          <w:b w:val="0"/>
          <w:bCs w:val="0"/>
          <w:sz w:val="24"/>
          <w:szCs w:val="24"/>
        </w:rPr>
        <w:t xml:space="preserve">Also, a request to increase the number of scheduled trips to the city or even locally for doctor appointments to better meet </w:t>
      </w:r>
      <w:r w:rsidR="001A0435">
        <w:rPr>
          <w:rStyle w:val="Strong"/>
          <w:rFonts w:ascii="Times New Roman" w:hAnsi="Times New Roman" w:cs="Times New Roman"/>
          <w:b w:val="0"/>
          <w:bCs w:val="0"/>
          <w:sz w:val="24"/>
          <w:szCs w:val="24"/>
        </w:rPr>
        <w:t>the needs of those needing to see a specialist. There are times those specialists are only in the area, rural or metro, for only a day</w:t>
      </w:r>
      <w:r w:rsidR="00FD2E4F">
        <w:rPr>
          <w:rStyle w:val="Strong"/>
          <w:rFonts w:ascii="Times New Roman" w:hAnsi="Times New Roman" w:cs="Times New Roman"/>
          <w:b w:val="0"/>
          <w:bCs w:val="0"/>
          <w:sz w:val="24"/>
          <w:szCs w:val="24"/>
        </w:rPr>
        <w:t>.</w:t>
      </w:r>
    </w:p>
    <w:p w14:paraId="38987F88" w14:textId="551058F6" w:rsidR="00B46955" w:rsidRDefault="00B46955"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Going along that expanding transit talk, the older adults also asked about feasibility to have </w:t>
      </w:r>
      <w:r w:rsidR="000354D8">
        <w:rPr>
          <w:rStyle w:val="Strong"/>
          <w:rFonts w:ascii="Times New Roman" w:hAnsi="Times New Roman" w:cs="Times New Roman"/>
          <w:b w:val="0"/>
          <w:bCs w:val="0"/>
          <w:sz w:val="24"/>
          <w:szCs w:val="24"/>
        </w:rPr>
        <w:t xml:space="preserve">private use of the bus to go the city for various recreational needs and wants. Locations ranging from the soon to re-open Casa Bonita, to the Denver Botanic Gardens, </w:t>
      </w:r>
      <w:r w:rsidR="00175EB5">
        <w:rPr>
          <w:rStyle w:val="Strong"/>
          <w:rFonts w:ascii="Times New Roman" w:hAnsi="Times New Roman" w:cs="Times New Roman"/>
          <w:b w:val="0"/>
          <w:bCs w:val="0"/>
          <w:sz w:val="24"/>
          <w:szCs w:val="24"/>
        </w:rPr>
        <w:t xml:space="preserve">the </w:t>
      </w:r>
      <w:r w:rsidR="00810984">
        <w:rPr>
          <w:rStyle w:val="Strong"/>
          <w:rFonts w:ascii="Times New Roman" w:hAnsi="Times New Roman" w:cs="Times New Roman"/>
          <w:b w:val="0"/>
          <w:bCs w:val="0"/>
          <w:sz w:val="24"/>
          <w:szCs w:val="24"/>
        </w:rPr>
        <w:t>Aquarium,</w:t>
      </w:r>
      <w:r w:rsidR="00630CCE">
        <w:rPr>
          <w:rStyle w:val="Strong"/>
          <w:rFonts w:ascii="Times New Roman" w:hAnsi="Times New Roman" w:cs="Times New Roman"/>
          <w:b w:val="0"/>
          <w:bCs w:val="0"/>
          <w:sz w:val="24"/>
          <w:szCs w:val="24"/>
        </w:rPr>
        <w:t xml:space="preserve"> and other local attractions. </w:t>
      </w:r>
      <w:r w:rsidR="00AE56CA">
        <w:rPr>
          <w:rStyle w:val="Strong"/>
          <w:rFonts w:ascii="Times New Roman" w:hAnsi="Times New Roman" w:cs="Times New Roman"/>
          <w:b w:val="0"/>
          <w:bCs w:val="0"/>
          <w:sz w:val="24"/>
          <w:szCs w:val="24"/>
        </w:rPr>
        <w:t>All</w:t>
      </w:r>
      <w:r w:rsidR="006A3F2D">
        <w:rPr>
          <w:rStyle w:val="Strong"/>
          <w:rFonts w:ascii="Times New Roman" w:hAnsi="Times New Roman" w:cs="Times New Roman"/>
          <w:b w:val="0"/>
          <w:bCs w:val="0"/>
          <w:sz w:val="24"/>
          <w:szCs w:val="24"/>
        </w:rPr>
        <w:t xml:space="preserve"> these ideas are </w:t>
      </w:r>
      <w:r w:rsidR="00AE56CA">
        <w:rPr>
          <w:rStyle w:val="Strong"/>
          <w:rFonts w:ascii="Times New Roman" w:hAnsi="Times New Roman" w:cs="Times New Roman"/>
          <w:b w:val="0"/>
          <w:bCs w:val="0"/>
          <w:sz w:val="24"/>
          <w:szCs w:val="24"/>
        </w:rPr>
        <w:t xml:space="preserve">being put </w:t>
      </w:r>
      <w:r w:rsidR="006A3F2D">
        <w:rPr>
          <w:rStyle w:val="Strong"/>
          <w:rFonts w:ascii="Times New Roman" w:hAnsi="Times New Roman" w:cs="Times New Roman"/>
          <w:b w:val="0"/>
          <w:bCs w:val="0"/>
          <w:sz w:val="24"/>
          <w:szCs w:val="24"/>
        </w:rPr>
        <w:t xml:space="preserve">on the AAA’s </w:t>
      </w:r>
      <w:r w:rsidR="00AE56CA">
        <w:rPr>
          <w:rStyle w:val="Strong"/>
          <w:rFonts w:ascii="Times New Roman" w:hAnsi="Times New Roman" w:cs="Times New Roman"/>
          <w:b w:val="0"/>
          <w:bCs w:val="0"/>
          <w:sz w:val="24"/>
          <w:szCs w:val="24"/>
        </w:rPr>
        <w:t>radar,</w:t>
      </w:r>
      <w:r w:rsidR="006A3F2D">
        <w:rPr>
          <w:rStyle w:val="Strong"/>
          <w:rFonts w:ascii="Times New Roman" w:hAnsi="Times New Roman" w:cs="Times New Roman"/>
          <w:b w:val="0"/>
          <w:bCs w:val="0"/>
          <w:sz w:val="24"/>
          <w:szCs w:val="24"/>
        </w:rPr>
        <w:t xml:space="preserve"> and </w:t>
      </w:r>
      <w:r w:rsidR="00AE56CA">
        <w:rPr>
          <w:rStyle w:val="Strong"/>
          <w:rFonts w:ascii="Times New Roman" w:hAnsi="Times New Roman" w:cs="Times New Roman"/>
          <w:b w:val="0"/>
          <w:bCs w:val="0"/>
          <w:sz w:val="24"/>
          <w:szCs w:val="24"/>
        </w:rPr>
        <w:t>it</w:t>
      </w:r>
      <w:r w:rsidR="006A3F2D">
        <w:rPr>
          <w:rStyle w:val="Strong"/>
          <w:rFonts w:ascii="Times New Roman" w:hAnsi="Times New Roman" w:cs="Times New Roman"/>
          <w:b w:val="0"/>
          <w:bCs w:val="0"/>
          <w:sz w:val="24"/>
          <w:szCs w:val="24"/>
        </w:rPr>
        <w:t xml:space="preserve"> will </w:t>
      </w:r>
      <w:r w:rsidR="00810984">
        <w:rPr>
          <w:rStyle w:val="Strong"/>
          <w:rFonts w:ascii="Times New Roman" w:hAnsi="Times New Roman" w:cs="Times New Roman"/>
          <w:b w:val="0"/>
          <w:bCs w:val="0"/>
          <w:sz w:val="24"/>
          <w:szCs w:val="24"/>
        </w:rPr>
        <w:t>investigate</w:t>
      </w:r>
      <w:r w:rsidR="001907B2">
        <w:rPr>
          <w:rStyle w:val="Strong"/>
          <w:rFonts w:ascii="Times New Roman" w:hAnsi="Times New Roman" w:cs="Times New Roman"/>
          <w:b w:val="0"/>
          <w:bCs w:val="0"/>
          <w:sz w:val="24"/>
          <w:szCs w:val="24"/>
        </w:rPr>
        <w:t xml:space="preserve"> being able to offer these trips through a network of volunteer drivers</w:t>
      </w:r>
      <w:r w:rsidR="00AE56CA">
        <w:rPr>
          <w:rStyle w:val="Strong"/>
          <w:rFonts w:ascii="Times New Roman" w:hAnsi="Times New Roman" w:cs="Times New Roman"/>
          <w:b w:val="0"/>
          <w:bCs w:val="0"/>
          <w:sz w:val="24"/>
          <w:szCs w:val="24"/>
        </w:rPr>
        <w:t xml:space="preserve"> or paid staff.</w:t>
      </w:r>
    </w:p>
    <w:p w14:paraId="41D3B982" w14:textId="77777777" w:rsidR="00594BBD" w:rsidRDefault="003B5615"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The discussion moved into a few other services and requests including some more information about the caregiver respite program, Tax Assistance</w:t>
      </w:r>
      <w:r w:rsidR="00151C0B">
        <w:rPr>
          <w:rStyle w:val="Strong"/>
          <w:rFonts w:ascii="Times New Roman" w:hAnsi="Times New Roman" w:cs="Times New Roman"/>
          <w:b w:val="0"/>
          <w:bCs w:val="0"/>
          <w:sz w:val="24"/>
          <w:szCs w:val="24"/>
        </w:rPr>
        <w:t>, and a request for more health classes or workshops. Sean clarified there are caregiving/caregiver respite providers</w:t>
      </w:r>
      <w:r w:rsidR="00D349BA">
        <w:rPr>
          <w:rStyle w:val="Strong"/>
          <w:rFonts w:ascii="Times New Roman" w:hAnsi="Times New Roman" w:cs="Times New Roman"/>
          <w:b w:val="0"/>
          <w:bCs w:val="0"/>
          <w:sz w:val="24"/>
          <w:szCs w:val="24"/>
        </w:rPr>
        <w:t xml:space="preserve"> with a limited capacity due to staffing. Tax assistance is provided externally from ECCOG </w:t>
      </w:r>
      <w:r w:rsidR="005C21FE">
        <w:rPr>
          <w:rStyle w:val="Strong"/>
          <w:rFonts w:ascii="Times New Roman" w:hAnsi="Times New Roman" w:cs="Times New Roman"/>
          <w:b w:val="0"/>
          <w:bCs w:val="0"/>
          <w:sz w:val="24"/>
          <w:szCs w:val="24"/>
        </w:rPr>
        <w:t xml:space="preserve">by the Colorado East Community Action Agency. </w:t>
      </w:r>
    </w:p>
    <w:p w14:paraId="1F1CB195" w14:textId="6AC064F2" w:rsidR="00AE56CA" w:rsidRDefault="00F20FD1"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Lastly, </w:t>
      </w:r>
      <w:r w:rsidR="00810984">
        <w:rPr>
          <w:rStyle w:val="Strong"/>
          <w:rFonts w:ascii="Times New Roman" w:hAnsi="Times New Roman" w:cs="Times New Roman"/>
          <w:b w:val="0"/>
          <w:bCs w:val="0"/>
          <w:sz w:val="24"/>
          <w:szCs w:val="24"/>
        </w:rPr>
        <w:t>in regard to</w:t>
      </w:r>
      <w:r>
        <w:rPr>
          <w:rStyle w:val="Strong"/>
          <w:rFonts w:ascii="Times New Roman" w:hAnsi="Times New Roman" w:cs="Times New Roman"/>
          <w:b w:val="0"/>
          <w:bCs w:val="0"/>
          <w:sz w:val="24"/>
          <w:szCs w:val="24"/>
        </w:rPr>
        <w:t xml:space="preserve"> the health and fitness classes that fall within evidence based programs are also being investigated by the AAA. Prior to the pandemic, there were classes offered </w:t>
      </w:r>
      <w:r w:rsidR="00D11029">
        <w:rPr>
          <w:rStyle w:val="Strong"/>
          <w:rFonts w:ascii="Times New Roman" w:hAnsi="Times New Roman" w:cs="Times New Roman"/>
          <w:b w:val="0"/>
          <w:bCs w:val="0"/>
          <w:sz w:val="24"/>
          <w:szCs w:val="24"/>
        </w:rPr>
        <w:t>through a partnership with the Independence Center of Colorado Springs</w:t>
      </w:r>
      <w:r w:rsidR="00405EB7">
        <w:rPr>
          <w:rStyle w:val="Strong"/>
          <w:rFonts w:ascii="Times New Roman" w:hAnsi="Times New Roman" w:cs="Times New Roman"/>
          <w:b w:val="0"/>
          <w:bCs w:val="0"/>
          <w:sz w:val="24"/>
          <w:szCs w:val="24"/>
        </w:rPr>
        <w:t>. Due to safety concerns those offerings had to cease</w:t>
      </w:r>
      <w:r w:rsidR="000A5618">
        <w:rPr>
          <w:rStyle w:val="Strong"/>
          <w:rFonts w:ascii="Times New Roman" w:hAnsi="Times New Roman" w:cs="Times New Roman"/>
          <w:b w:val="0"/>
          <w:bCs w:val="0"/>
          <w:sz w:val="24"/>
          <w:szCs w:val="24"/>
        </w:rPr>
        <w:t xml:space="preserve"> and through that, contracts were not reestablished. The STS Director has been in contact with </w:t>
      </w:r>
      <w:r w:rsidR="006C2349">
        <w:rPr>
          <w:rStyle w:val="Strong"/>
          <w:rFonts w:ascii="Times New Roman" w:hAnsi="Times New Roman" w:cs="Times New Roman"/>
          <w:b w:val="0"/>
          <w:bCs w:val="0"/>
          <w:sz w:val="24"/>
          <w:szCs w:val="24"/>
        </w:rPr>
        <w:t xml:space="preserve">the Independence Center and is working on bringing back these health classes to the region to improve physical wellbeing of the older adult populations. </w:t>
      </w:r>
      <w:r w:rsidR="00594BBD">
        <w:rPr>
          <w:rStyle w:val="Strong"/>
          <w:rFonts w:ascii="Times New Roman" w:hAnsi="Times New Roman" w:cs="Times New Roman"/>
          <w:b w:val="0"/>
          <w:bCs w:val="0"/>
          <w:sz w:val="24"/>
          <w:szCs w:val="24"/>
        </w:rPr>
        <w:t>The conversation ended at around 2:15PM.</w:t>
      </w:r>
    </w:p>
    <w:p w14:paraId="78D72512" w14:textId="5A0AC140" w:rsidR="00594BBD" w:rsidRDefault="00597637"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In mid-February, </w:t>
      </w:r>
      <w:r w:rsidR="00EF29F0">
        <w:rPr>
          <w:rStyle w:val="Strong"/>
          <w:rFonts w:ascii="Times New Roman" w:hAnsi="Times New Roman" w:cs="Times New Roman"/>
          <w:b w:val="0"/>
          <w:bCs w:val="0"/>
          <w:sz w:val="24"/>
          <w:szCs w:val="24"/>
        </w:rPr>
        <w:t>the East Central AAA sent out Community Conversation Surveys to</w:t>
      </w:r>
      <w:r w:rsidR="006A7CE5">
        <w:rPr>
          <w:rStyle w:val="Strong"/>
          <w:rFonts w:ascii="Times New Roman" w:hAnsi="Times New Roman" w:cs="Times New Roman"/>
          <w:b w:val="0"/>
          <w:bCs w:val="0"/>
          <w:sz w:val="24"/>
          <w:szCs w:val="24"/>
        </w:rPr>
        <w:t xml:space="preserve"> senior centers,</w:t>
      </w:r>
      <w:r w:rsidR="00EF29F0">
        <w:rPr>
          <w:rStyle w:val="Strong"/>
          <w:rFonts w:ascii="Times New Roman" w:hAnsi="Times New Roman" w:cs="Times New Roman"/>
          <w:b w:val="0"/>
          <w:bCs w:val="0"/>
          <w:sz w:val="24"/>
          <w:szCs w:val="24"/>
        </w:rPr>
        <w:t xml:space="preserve"> kitchens</w:t>
      </w:r>
      <w:r w:rsidR="006A7CE5">
        <w:rPr>
          <w:rStyle w:val="Strong"/>
          <w:rFonts w:ascii="Times New Roman" w:hAnsi="Times New Roman" w:cs="Times New Roman"/>
          <w:b w:val="0"/>
          <w:bCs w:val="0"/>
          <w:sz w:val="24"/>
          <w:szCs w:val="24"/>
        </w:rPr>
        <w:t>,</w:t>
      </w:r>
      <w:r w:rsidR="00EF29F0">
        <w:rPr>
          <w:rStyle w:val="Strong"/>
          <w:rFonts w:ascii="Times New Roman" w:hAnsi="Times New Roman" w:cs="Times New Roman"/>
          <w:b w:val="0"/>
          <w:bCs w:val="0"/>
          <w:sz w:val="24"/>
          <w:szCs w:val="24"/>
        </w:rPr>
        <w:t xml:space="preserve"> and remote meal sites to gain input across the region</w:t>
      </w:r>
      <w:r w:rsidR="00CD7C1F">
        <w:rPr>
          <w:rStyle w:val="Strong"/>
          <w:rFonts w:ascii="Times New Roman" w:hAnsi="Times New Roman" w:cs="Times New Roman"/>
          <w:b w:val="0"/>
          <w:bCs w:val="0"/>
          <w:sz w:val="24"/>
          <w:szCs w:val="24"/>
        </w:rPr>
        <w:t>. The surveys ask</w:t>
      </w:r>
      <w:r w:rsidR="00085828">
        <w:rPr>
          <w:rStyle w:val="Strong"/>
          <w:rFonts w:ascii="Times New Roman" w:hAnsi="Times New Roman" w:cs="Times New Roman"/>
          <w:b w:val="0"/>
          <w:bCs w:val="0"/>
          <w:sz w:val="24"/>
          <w:szCs w:val="24"/>
        </w:rPr>
        <w:t>ed</w:t>
      </w:r>
      <w:r w:rsidR="00CD7C1F">
        <w:rPr>
          <w:rStyle w:val="Strong"/>
          <w:rFonts w:ascii="Times New Roman" w:hAnsi="Times New Roman" w:cs="Times New Roman"/>
          <w:b w:val="0"/>
          <w:bCs w:val="0"/>
          <w:sz w:val="24"/>
          <w:szCs w:val="24"/>
        </w:rPr>
        <w:t xml:space="preserve"> questions related to</w:t>
      </w:r>
      <w:r w:rsidR="00085828">
        <w:rPr>
          <w:rStyle w:val="Strong"/>
          <w:rFonts w:ascii="Times New Roman" w:hAnsi="Times New Roman" w:cs="Times New Roman"/>
          <w:b w:val="0"/>
          <w:bCs w:val="0"/>
          <w:sz w:val="24"/>
          <w:szCs w:val="24"/>
        </w:rPr>
        <w:t>:</w:t>
      </w:r>
      <w:r w:rsidR="00CD7C1F">
        <w:rPr>
          <w:rStyle w:val="Strong"/>
          <w:rFonts w:ascii="Times New Roman" w:hAnsi="Times New Roman" w:cs="Times New Roman"/>
          <w:b w:val="0"/>
          <w:bCs w:val="0"/>
          <w:sz w:val="24"/>
          <w:szCs w:val="24"/>
        </w:rPr>
        <w:t xml:space="preserve"> how older adults receive information on programs and services; </w:t>
      </w:r>
      <w:r w:rsidR="00B240B3">
        <w:rPr>
          <w:rStyle w:val="Strong"/>
          <w:rFonts w:ascii="Times New Roman" w:hAnsi="Times New Roman" w:cs="Times New Roman"/>
          <w:b w:val="0"/>
          <w:bCs w:val="0"/>
          <w:sz w:val="24"/>
          <w:szCs w:val="24"/>
        </w:rPr>
        <w:t xml:space="preserve">their </w:t>
      </w:r>
      <w:r w:rsidR="00810984">
        <w:rPr>
          <w:rStyle w:val="Strong"/>
          <w:rFonts w:ascii="Times New Roman" w:hAnsi="Times New Roman" w:cs="Times New Roman"/>
          <w:b w:val="0"/>
          <w:bCs w:val="0"/>
          <w:sz w:val="24"/>
          <w:szCs w:val="24"/>
        </w:rPr>
        <w:t>overall</w:t>
      </w:r>
      <w:r w:rsidR="00B240B3">
        <w:rPr>
          <w:rStyle w:val="Strong"/>
          <w:rFonts w:ascii="Times New Roman" w:hAnsi="Times New Roman" w:cs="Times New Roman"/>
          <w:b w:val="0"/>
          <w:bCs w:val="0"/>
          <w:sz w:val="24"/>
          <w:szCs w:val="24"/>
        </w:rPr>
        <w:t xml:space="preserve"> well-being (physically, mentally, financially) compared to the previous year; </w:t>
      </w:r>
      <w:r w:rsidR="00495BDC">
        <w:rPr>
          <w:rStyle w:val="Strong"/>
          <w:rFonts w:ascii="Times New Roman" w:hAnsi="Times New Roman" w:cs="Times New Roman"/>
          <w:b w:val="0"/>
          <w:bCs w:val="0"/>
          <w:sz w:val="24"/>
          <w:szCs w:val="24"/>
        </w:rPr>
        <w:t xml:space="preserve">opinions on challenges faced today by older adults; technology and the need for education; </w:t>
      </w:r>
      <w:r w:rsidR="00CE6927">
        <w:rPr>
          <w:rStyle w:val="Strong"/>
          <w:rFonts w:ascii="Times New Roman" w:hAnsi="Times New Roman" w:cs="Times New Roman"/>
          <w:b w:val="0"/>
          <w:bCs w:val="0"/>
          <w:sz w:val="24"/>
          <w:szCs w:val="24"/>
        </w:rPr>
        <w:t xml:space="preserve">knowledge of supportive services for grandparents raising grandchildren, </w:t>
      </w:r>
      <w:r w:rsidR="00367CA6">
        <w:rPr>
          <w:rStyle w:val="Strong"/>
          <w:rFonts w:ascii="Times New Roman" w:hAnsi="Times New Roman" w:cs="Times New Roman"/>
          <w:b w:val="0"/>
          <w:bCs w:val="0"/>
          <w:sz w:val="24"/>
          <w:szCs w:val="24"/>
        </w:rPr>
        <w:t>individuals with dementia or Alzheimer’s, and mental health</w:t>
      </w:r>
      <w:r w:rsidR="00085828">
        <w:rPr>
          <w:rStyle w:val="Strong"/>
          <w:rFonts w:ascii="Times New Roman" w:hAnsi="Times New Roman" w:cs="Times New Roman"/>
          <w:b w:val="0"/>
          <w:bCs w:val="0"/>
          <w:sz w:val="24"/>
          <w:szCs w:val="24"/>
        </w:rPr>
        <w:t xml:space="preserve">; </w:t>
      </w:r>
      <w:r w:rsidR="00965567">
        <w:rPr>
          <w:rStyle w:val="Strong"/>
          <w:rFonts w:ascii="Times New Roman" w:hAnsi="Times New Roman" w:cs="Times New Roman"/>
          <w:b w:val="0"/>
          <w:bCs w:val="0"/>
          <w:sz w:val="24"/>
          <w:szCs w:val="24"/>
        </w:rPr>
        <w:t xml:space="preserve">intergenerational programs; and </w:t>
      </w:r>
      <w:r w:rsidR="003C2E20">
        <w:rPr>
          <w:rStyle w:val="Strong"/>
          <w:rFonts w:ascii="Times New Roman" w:hAnsi="Times New Roman" w:cs="Times New Roman"/>
          <w:b w:val="0"/>
          <w:bCs w:val="0"/>
          <w:sz w:val="24"/>
          <w:szCs w:val="24"/>
        </w:rPr>
        <w:t xml:space="preserve">existing programs that the AAA should invest more money into. </w:t>
      </w:r>
    </w:p>
    <w:p w14:paraId="0643FA2E" w14:textId="0364F3E6" w:rsidR="002831DB" w:rsidRDefault="00BC16CB"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Th</w:t>
      </w:r>
      <w:r w:rsidR="006A7CE5">
        <w:rPr>
          <w:rStyle w:val="Strong"/>
          <w:rFonts w:ascii="Times New Roman" w:hAnsi="Times New Roman" w:cs="Times New Roman"/>
          <w:b w:val="0"/>
          <w:bCs w:val="0"/>
          <w:sz w:val="24"/>
          <w:szCs w:val="24"/>
        </w:rPr>
        <w:t>ere were 132 surveys distributed</w:t>
      </w:r>
      <w:r w:rsidR="008B052A">
        <w:rPr>
          <w:rStyle w:val="Strong"/>
          <w:rFonts w:ascii="Times New Roman" w:hAnsi="Times New Roman" w:cs="Times New Roman"/>
          <w:b w:val="0"/>
          <w:bCs w:val="0"/>
          <w:sz w:val="24"/>
          <w:szCs w:val="24"/>
        </w:rPr>
        <w:t xml:space="preserve">, </w:t>
      </w:r>
      <w:r w:rsidR="006A7CE5">
        <w:rPr>
          <w:rStyle w:val="Strong"/>
          <w:rFonts w:ascii="Times New Roman" w:hAnsi="Times New Roman" w:cs="Times New Roman"/>
          <w:b w:val="0"/>
          <w:bCs w:val="0"/>
          <w:sz w:val="24"/>
          <w:szCs w:val="24"/>
        </w:rPr>
        <w:t>with the potential for copies to be made if needed. However, of the 132 distributed</w:t>
      </w:r>
      <w:r w:rsidR="008B052A">
        <w:rPr>
          <w:rStyle w:val="Strong"/>
          <w:rFonts w:ascii="Times New Roman" w:hAnsi="Times New Roman" w:cs="Times New Roman"/>
          <w:b w:val="0"/>
          <w:bCs w:val="0"/>
          <w:sz w:val="24"/>
          <w:szCs w:val="24"/>
        </w:rPr>
        <w:t>,</w:t>
      </w:r>
      <w:r w:rsidR="006A7CE5">
        <w:rPr>
          <w:rStyle w:val="Strong"/>
          <w:rFonts w:ascii="Times New Roman" w:hAnsi="Times New Roman" w:cs="Times New Roman"/>
          <w:b w:val="0"/>
          <w:bCs w:val="0"/>
          <w:sz w:val="24"/>
          <w:szCs w:val="24"/>
        </w:rPr>
        <w:t xml:space="preserve"> 65 responses were returned to the </w:t>
      </w:r>
      <w:r w:rsidR="009451D8">
        <w:rPr>
          <w:rStyle w:val="Strong"/>
          <w:rFonts w:ascii="Times New Roman" w:hAnsi="Times New Roman" w:cs="Times New Roman"/>
          <w:b w:val="0"/>
          <w:bCs w:val="0"/>
          <w:sz w:val="24"/>
          <w:szCs w:val="24"/>
        </w:rPr>
        <w:t>AAA</w:t>
      </w:r>
      <w:r w:rsidR="00315345">
        <w:rPr>
          <w:rStyle w:val="Strong"/>
          <w:rFonts w:ascii="Times New Roman" w:hAnsi="Times New Roman" w:cs="Times New Roman"/>
          <w:b w:val="0"/>
          <w:bCs w:val="0"/>
          <w:sz w:val="24"/>
          <w:szCs w:val="24"/>
        </w:rPr>
        <w:t>,</w:t>
      </w:r>
      <w:r w:rsidR="008B052A">
        <w:rPr>
          <w:rStyle w:val="Strong"/>
          <w:rFonts w:ascii="Times New Roman" w:hAnsi="Times New Roman" w:cs="Times New Roman"/>
          <w:b w:val="0"/>
          <w:bCs w:val="0"/>
          <w:sz w:val="24"/>
          <w:szCs w:val="24"/>
        </w:rPr>
        <w:t xml:space="preserve"> equating to a</w:t>
      </w:r>
      <w:r w:rsidR="00A33BCF">
        <w:rPr>
          <w:rStyle w:val="Strong"/>
          <w:rFonts w:ascii="Times New Roman" w:hAnsi="Times New Roman" w:cs="Times New Roman"/>
          <w:b w:val="0"/>
          <w:bCs w:val="0"/>
          <w:sz w:val="24"/>
          <w:szCs w:val="24"/>
        </w:rPr>
        <w:t xml:space="preserve"> response of 49.2%</w:t>
      </w:r>
      <w:r w:rsidR="009451D8">
        <w:rPr>
          <w:rStyle w:val="Strong"/>
          <w:rFonts w:ascii="Times New Roman" w:hAnsi="Times New Roman" w:cs="Times New Roman"/>
          <w:b w:val="0"/>
          <w:bCs w:val="0"/>
          <w:sz w:val="24"/>
          <w:szCs w:val="24"/>
        </w:rPr>
        <w:t xml:space="preserve">. Responses were then tallied based on the number of responses to each </w:t>
      </w:r>
      <w:r w:rsidR="002831DB">
        <w:rPr>
          <w:rStyle w:val="Strong"/>
          <w:rFonts w:ascii="Times New Roman" w:hAnsi="Times New Roman" w:cs="Times New Roman"/>
          <w:b w:val="0"/>
          <w:bCs w:val="0"/>
          <w:sz w:val="24"/>
          <w:szCs w:val="24"/>
        </w:rPr>
        <w:t>question</w:t>
      </w:r>
      <w:r w:rsidR="009451D8">
        <w:rPr>
          <w:rStyle w:val="Strong"/>
          <w:rFonts w:ascii="Times New Roman" w:hAnsi="Times New Roman" w:cs="Times New Roman"/>
          <w:b w:val="0"/>
          <w:bCs w:val="0"/>
          <w:sz w:val="24"/>
          <w:szCs w:val="24"/>
        </w:rPr>
        <w:t xml:space="preserve"> when applicable.</w:t>
      </w:r>
    </w:p>
    <w:p w14:paraId="7311C89A" w14:textId="0C49B9AE" w:rsidR="00685270" w:rsidRDefault="002831DB"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Overall,</w:t>
      </w:r>
      <w:r w:rsidR="00997173">
        <w:rPr>
          <w:rStyle w:val="Strong"/>
          <w:rFonts w:ascii="Times New Roman" w:hAnsi="Times New Roman" w:cs="Times New Roman"/>
          <w:b w:val="0"/>
          <w:bCs w:val="0"/>
          <w:sz w:val="24"/>
          <w:szCs w:val="24"/>
        </w:rPr>
        <w:t xml:space="preserve"> most of the participants are feeling similarly to how they were in the past year</w:t>
      </w:r>
      <w:r>
        <w:rPr>
          <w:rStyle w:val="Strong"/>
          <w:rFonts w:ascii="Times New Roman" w:hAnsi="Times New Roman" w:cs="Times New Roman"/>
          <w:b w:val="0"/>
          <w:bCs w:val="0"/>
          <w:sz w:val="24"/>
          <w:szCs w:val="24"/>
        </w:rPr>
        <w:t xml:space="preserve"> (45 responses)</w:t>
      </w:r>
      <w:r w:rsidR="00997173">
        <w:rPr>
          <w:rStyle w:val="Strong"/>
          <w:rFonts w:ascii="Times New Roman" w:hAnsi="Times New Roman" w:cs="Times New Roman"/>
          <w:b w:val="0"/>
          <w:bCs w:val="0"/>
          <w:sz w:val="24"/>
          <w:szCs w:val="24"/>
        </w:rPr>
        <w:t xml:space="preserve">, with </w:t>
      </w:r>
      <w:r w:rsidR="00752420">
        <w:rPr>
          <w:rStyle w:val="Strong"/>
          <w:rFonts w:ascii="Times New Roman" w:hAnsi="Times New Roman" w:cs="Times New Roman"/>
          <w:b w:val="0"/>
          <w:bCs w:val="0"/>
          <w:sz w:val="24"/>
          <w:szCs w:val="24"/>
        </w:rPr>
        <w:t xml:space="preserve">nine who claim to be worse off, and nine better than the last year. </w:t>
      </w:r>
      <w:r w:rsidR="00491A3C">
        <w:rPr>
          <w:rStyle w:val="Strong"/>
          <w:rFonts w:ascii="Times New Roman" w:hAnsi="Times New Roman" w:cs="Times New Roman"/>
          <w:b w:val="0"/>
          <w:bCs w:val="0"/>
          <w:sz w:val="24"/>
          <w:szCs w:val="24"/>
        </w:rPr>
        <w:t xml:space="preserve">The top three </w:t>
      </w:r>
      <w:r w:rsidR="00491A3C">
        <w:rPr>
          <w:rStyle w:val="Strong"/>
          <w:rFonts w:ascii="Times New Roman" w:hAnsi="Times New Roman" w:cs="Times New Roman"/>
          <w:b w:val="0"/>
          <w:bCs w:val="0"/>
          <w:sz w:val="24"/>
          <w:szCs w:val="24"/>
        </w:rPr>
        <w:lastRenderedPageBreak/>
        <w:t xml:space="preserve">challenges facing older adults </w:t>
      </w:r>
      <w:r w:rsidR="00A47CF4">
        <w:rPr>
          <w:rStyle w:val="Strong"/>
          <w:rFonts w:ascii="Times New Roman" w:hAnsi="Times New Roman" w:cs="Times New Roman"/>
          <w:b w:val="0"/>
          <w:bCs w:val="0"/>
          <w:sz w:val="24"/>
          <w:szCs w:val="24"/>
        </w:rPr>
        <w:t xml:space="preserve">are Finances (36 responses), </w:t>
      </w:r>
      <w:r w:rsidR="004B546E">
        <w:rPr>
          <w:rStyle w:val="Strong"/>
          <w:rFonts w:ascii="Times New Roman" w:hAnsi="Times New Roman" w:cs="Times New Roman"/>
          <w:b w:val="0"/>
          <w:bCs w:val="0"/>
          <w:sz w:val="24"/>
          <w:szCs w:val="24"/>
        </w:rPr>
        <w:t xml:space="preserve">Medical/Healthcare (32 responses), and Loneliness/Isolation (27 responses). </w:t>
      </w:r>
      <w:r w:rsidR="003F4EC2">
        <w:rPr>
          <w:rStyle w:val="Strong"/>
          <w:rFonts w:ascii="Times New Roman" w:hAnsi="Times New Roman" w:cs="Times New Roman"/>
          <w:b w:val="0"/>
          <w:bCs w:val="0"/>
          <w:sz w:val="24"/>
          <w:szCs w:val="24"/>
        </w:rPr>
        <w:t xml:space="preserve">Questions </w:t>
      </w:r>
      <w:r w:rsidR="00844A0B">
        <w:rPr>
          <w:rStyle w:val="Strong"/>
          <w:rFonts w:ascii="Times New Roman" w:hAnsi="Times New Roman" w:cs="Times New Roman"/>
          <w:b w:val="0"/>
          <w:bCs w:val="0"/>
          <w:sz w:val="24"/>
          <w:szCs w:val="24"/>
        </w:rPr>
        <w:t xml:space="preserve">regarding technology and access showed a great need for classes or trainings to help educate the older adults on technology and how to use it. Of the 65 surveys received, </w:t>
      </w:r>
      <w:r w:rsidR="00F369D5">
        <w:rPr>
          <w:rStyle w:val="Strong"/>
          <w:rFonts w:ascii="Times New Roman" w:hAnsi="Times New Roman" w:cs="Times New Roman"/>
          <w:b w:val="0"/>
          <w:bCs w:val="0"/>
          <w:sz w:val="24"/>
          <w:szCs w:val="24"/>
        </w:rPr>
        <w:t>56 individuals responded either Yes</w:t>
      </w:r>
      <w:r w:rsidR="00D60878">
        <w:rPr>
          <w:rStyle w:val="Strong"/>
          <w:rFonts w:ascii="Times New Roman" w:hAnsi="Times New Roman" w:cs="Times New Roman"/>
          <w:b w:val="0"/>
          <w:bCs w:val="0"/>
          <w:sz w:val="24"/>
          <w:szCs w:val="24"/>
        </w:rPr>
        <w:t xml:space="preserve"> (36)</w:t>
      </w:r>
      <w:r w:rsidR="00F369D5">
        <w:rPr>
          <w:rStyle w:val="Strong"/>
          <w:rFonts w:ascii="Times New Roman" w:hAnsi="Times New Roman" w:cs="Times New Roman"/>
          <w:b w:val="0"/>
          <w:bCs w:val="0"/>
          <w:sz w:val="24"/>
          <w:szCs w:val="24"/>
        </w:rPr>
        <w:t xml:space="preserve"> or No</w:t>
      </w:r>
      <w:r w:rsidR="00D60878">
        <w:rPr>
          <w:rStyle w:val="Strong"/>
          <w:rFonts w:ascii="Times New Roman" w:hAnsi="Times New Roman" w:cs="Times New Roman"/>
          <w:b w:val="0"/>
          <w:bCs w:val="0"/>
          <w:sz w:val="24"/>
          <w:szCs w:val="24"/>
        </w:rPr>
        <w:t xml:space="preserve"> (20)</w:t>
      </w:r>
      <w:r w:rsidR="00F369D5">
        <w:rPr>
          <w:rStyle w:val="Strong"/>
          <w:rFonts w:ascii="Times New Roman" w:hAnsi="Times New Roman" w:cs="Times New Roman"/>
          <w:b w:val="0"/>
          <w:bCs w:val="0"/>
          <w:sz w:val="24"/>
          <w:szCs w:val="24"/>
        </w:rPr>
        <w:t xml:space="preserve"> to needing assistance with </w:t>
      </w:r>
      <w:r w:rsidR="000459E4">
        <w:rPr>
          <w:rStyle w:val="Strong"/>
          <w:rFonts w:ascii="Times New Roman" w:hAnsi="Times New Roman" w:cs="Times New Roman"/>
          <w:b w:val="0"/>
          <w:bCs w:val="0"/>
          <w:sz w:val="24"/>
          <w:szCs w:val="24"/>
        </w:rPr>
        <w:t>technology.</w:t>
      </w:r>
    </w:p>
    <w:p w14:paraId="3B167F10" w14:textId="6CFD1860" w:rsidR="003C2E20" w:rsidRDefault="00664DA7"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Older adults also provided </w:t>
      </w:r>
      <w:r w:rsidR="006D3194">
        <w:rPr>
          <w:rStyle w:val="Strong"/>
          <w:rFonts w:ascii="Times New Roman" w:hAnsi="Times New Roman" w:cs="Times New Roman"/>
          <w:b w:val="0"/>
          <w:bCs w:val="0"/>
          <w:sz w:val="24"/>
          <w:szCs w:val="24"/>
        </w:rPr>
        <w:t>types of technology they either use currently or may need to use in the future to age well. Technology such as, computers with internet</w:t>
      </w:r>
      <w:r w:rsidR="00800719">
        <w:rPr>
          <w:rStyle w:val="Strong"/>
          <w:rFonts w:ascii="Times New Roman" w:hAnsi="Times New Roman" w:cs="Times New Roman"/>
          <w:b w:val="0"/>
          <w:bCs w:val="0"/>
          <w:sz w:val="24"/>
          <w:szCs w:val="24"/>
        </w:rPr>
        <w:t>, smartphones,</w:t>
      </w:r>
      <w:r w:rsidR="00B85314">
        <w:rPr>
          <w:rStyle w:val="Strong"/>
          <w:rFonts w:ascii="Times New Roman" w:hAnsi="Times New Roman" w:cs="Times New Roman"/>
          <w:b w:val="0"/>
          <w:bCs w:val="0"/>
          <w:sz w:val="24"/>
          <w:szCs w:val="24"/>
        </w:rPr>
        <w:t xml:space="preserve"> tablets, email, </w:t>
      </w:r>
      <w:r w:rsidR="00810984">
        <w:rPr>
          <w:rStyle w:val="Strong"/>
          <w:rFonts w:ascii="Times New Roman" w:hAnsi="Times New Roman" w:cs="Times New Roman"/>
          <w:b w:val="0"/>
          <w:bCs w:val="0"/>
          <w:sz w:val="24"/>
          <w:szCs w:val="24"/>
        </w:rPr>
        <w:t>telehealth,</w:t>
      </w:r>
      <w:r w:rsidR="00B85314">
        <w:rPr>
          <w:rStyle w:val="Strong"/>
          <w:rFonts w:ascii="Times New Roman" w:hAnsi="Times New Roman" w:cs="Times New Roman"/>
          <w:b w:val="0"/>
          <w:bCs w:val="0"/>
          <w:sz w:val="24"/>
          <w:szCs w:val="24"/>
        </w:rPr>
        <w:t xml:space="preserve"> and a few others. </w:t>
      </w:r>
      <w:r w:rsidR="00AB303A">
        <w:rPr>
          <w:rStyle w:val="Strong"/>
          <w:rFonts w:ascii="Times New Roman" w:hAnsi="Times New Roman" w:cs="Times New Roman"/>
          <w:b w:val="0"/>
          <w:bCs w:val="0"/>
          <w:sz w:val="24"/>
          <w:szCs w:val="24"/>
        </w:rPr>
        <w:t xml:space="preserve">The top three response were Smartphones (47), and Computers with Inter and Email both with </w:t>
      </w:r>
      <w:r w:rsidR="00F55A46">
        <w:rPr>
          <w:rStyle w:val="Strong"/>
          <w:rFonts w:ascii="Times New Roman" w:hAnsi="Times New Roman" w:cs="Times New Roman"/>
          <w:b w:val="0"/>
          <w:bCs w:val="0"/>
          <w:sz w:val="24"/>
          <w:szCs w:val="24"/>
        </w:rPr>
        <w:t>41 responses.</w:t>
      </w:r>
    </w:p>
    <w:p w14:paraId="79A4156E" w14:textId="4A5D6CCE" w:rsidR="00685270" w:rsidRDefault="00685270"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In questions regarding </w:t>
      </w:r>
      <w:r w:rsidR="00D4041C">
        <w:rPr>
          <w:rStyle w:val="Strong"/>
          <w:rFonts w:ascii="Times New Roman" w:hAnsi="Times New Roman" w:cs="Times New Roman"/>
          <w:b w:val="0"/>
          <w:bCs w:val="0"/>
          <w:sz w:val="24"/>
          <w:szCs w:val="24"/>
        </w:rPr>
        <w:t xml:space="preserve">dementia, Alzheimer’s, grandparents raising grandchildren and mental health assistance, predominately all who responded did not know enough about the available supports. </w:t>
      </w:r>
    </w:p>
    <w:p w14:paraId="7121F256" w14:textId="3ADEE6ED" w:rsidR="00DB0343" w:rsidRDefault="00DB0343"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Lastly</w:t>
      </w:r>
      <w:r w:rsidR="00A14F43">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w:t>
      </w:r>
      <w:r w:rsidR="00A14F43">
        <w:rPr>
          <w:rStyle w:val="Strong"/>
          <w:rFonts w:ascii="Times New Roman" w:hAnsi="Times New Roman" w:cs="Times New Roman"/>
          <w:b w:val="0"/>
          <w:bCs w:val="0"/>
          <w:sz w:val="24"/>
          <w:szCs w:val="24"/>
        </w:rPr>
        <w:t>for</w:t>
      </w:r>
      <w:r>
        <w:rPr>
          <w:rStyle w:val="Strong"/>
          <w:rFonts w:ascii="Times New Roman" w:hAnsi="Times New Roman" w:cs="Times New Roman"/>
          <w:b w:val="0"/>
          <w:bCs w:val="0"/>
          <w:sz w:val="24"/>
          <w:szCs w:val="24"/>
        </w:rPr>
        <w:t xml:space="preserve"> </w:t>
      </w:r>
      <w:r w:rsidR="0086586F">
        <w:rPr>
          <w:rStyle w:val="Strong"/>
          <w:rFonts w:ascii="Times New Roman" w:hAnsi="Times New Roman" w:cs="Times New Roman"/>
          <w:b w:val="0"/>
          <w:bCs w:val="0"/>
          <w:sz w:val="24"/>
          <w:szCs w:val="24"/>
        </w:rPr>
        <w:t xml:space="preserve">questions regarding bridging a gap between younger generations and the older adults, </w:t>
      </w:r>
      <w:r w:rsidR="00036BBE">
        <w:rPr>
          <w:rStyle w:val="Strong"/>
          <w:rFonts w:ascii="Times New Roman" w:hAnsi="Times New Roman" w:cs="Times New Roman"/>
          <w:b w:val="0"/>
          <w:bCs w:val="0"/>
          <w:sz w:val="24"/>
          <w:szCs w:val="24"/>
        </w:rPr>
        <w:t xml:space="preserve">many were interested in skills mentoring or skills classes, and </w:t>
      </w:r>
      <w:r w:rsidR="0079258F">
        <w:rPr>
          <w:rStyle w:val="Strong"/>
          <w:rFonts w:ascii="Times New Roman" w:hAnsi="Times New Roman" w:cs="Times New Roman"/>
          <w:b w:val="0"/>
          <w:bCs w:val="0"/>
          <w:sz w:val="24"/>
          <w:szCs w:val="24"/>
        </w:rPr>
        <w:t>h</w:t>
      </w:r>
      <w:r w:rsidR="00036BBE">
        <w:rPr>
          <w:rStyle w:val="Strong"/>
          <w:rFonts w:ascii="Times New Roman" w:hAnsi="Times New Roman" w:cs="Times New Roman"/>
          <w:b w:val="0"/>
          <w:bCs w:val="0"/>
          <w:sz w:val="24"/>
          <w:szCs w:val="24"/>
        </w:rPr>
        <w:t xml:space="preserve">obby groups or classes. These responses </w:t>
      </w:r>
      <w:r w:rsidR="004C03AC">
        <w:rPr>
          <w:rStyle w:val="Strong"/>
          <w:rFonts w:ascii="Times New Roman" w:hAnsi="Times New Roman" w:cs="Times New Roman"/>
          <w:b w:val="0"/>
          <w:bCs w:val="0"/>
          <w:sz w:val="24"/>
          <w:szCs w:val="24"/>
        </w:rPr>
        <w:t xml:space="preserve">will help ECCOG focus efforts towards bringing in more intergenerational </w:t>
      </w:r>
      <w:r w:rsidR="00506CA9">
        <w:rPr>
          <w:rStyle w:val="Strong"/>
          <w:rFonts w:ascii="Times New Roman" w:hAnsi="Times New Roman" w:cs="Times New Roman"/>
          <w:b w:val="0"/>
          <w:bCs w:val="0"/>
          <w:sz w:val="24"/>
          <w:szCs w:val="24"/>
        </w:rPr>
        <w:t xml:space="preserve">offerings to let the older adults teach the youth, and vice versa. </w:t>
      </w:r>
      <w:r w:rsidR="008277FA">
        <w:rPr>
          <w:rStyle w:val="Strong"/>
          <w:rFonts w:ascii="Times New Roman" w:hAnsi="Times New Roman" w:cs="Times New Roman"/>
          <w:b w:val="0"/>
          <w:bCs w:val="0"/>
          <w:sz w:val="24"/>
          <w:szCs w:val="24"/>
        </w:rPr>
        <w:t xml:space="preserve">Also, this gives ECCOG avenues to pursue hobbies of their older adults and help those individuals find more </w:t>
      </w:r>
      <w:r w:rsidR="0079258F">
        <w:rPr>
          <w:rStyle w:val="Strong"/>
          <w:rFonts w:ascii="Times New Roman" w:hAnsi="Times New Roman" w:cs="Times New Roman"/>
          <w:b w:val="0"/>
          <w:bCs w:val="0"/>
          <w:sz w:val="24"/>
          <w:szCs w:val="24"/>
        </w:rPr>
        <w:t>like-minded</w:t>
      </w:r>
      <w:r w:rsidR="008277FA">
        <w:rPr>
          <w:rStyle w:val="Strong"/>
          <w:rFonts w:ascii="Times New Roman" w:hAnsi="Times New Roman" w:cs="Times New Roman"/>
          <w:b w:val="0"/>
          <w:bCs w:val="0"/>
          <w:sz w:val="24"/>
          <w:szCs w:val="24"/>
        </w:rPr>
        <w:t xml:space="preserve"> </w:t>
      </w:r>
      <w:r w:rsidR="0079258F">
        <w:rPr>
          <w:rStyle w:val="Strong"/>
          <w:rFonts w:ascii="Times New Roman" w:hAnsi="Times New Roman" w:cs="Times New Roman"/>
          <w:b w:val="0"/>
          <w:bCs w:val="0"/>
          <w:sz w:val="24"/>
          <w:szCs w:val="24"/>
        </w:rPr>
        <w:t xml:space="preserve">peers who are eager to get involved or learn a new hobby. </w:t>
      </w:r>
    </w:p>
    <w:p w14:paraId="60455248" w14:textId="555EE0D6" w:rsidR="0079258F" w:rsidRDefault="009A6DEA" w:rsidP="001A65CA">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In conclusion the Community Conversation Survey</w:t>
      </w:r>
      <w:r w:rsidR="00923FAB">
        <w:rPr>
          <w:rStyle w:val="Strong"/>
          <w:rFonts w:ascii="Times New Roman" w:hAnsi="Times New Roman" w:cs="Times New Roman"/>
          <w:b w:val="0"/>
          <w:bCs w:val="0"/>
          <w:sz w:val="24"/>
          <w:szCs w:val="24"/>
        </w:rPr>
        <w:t xml:space="preserve"> responses will help guide the AAA.</w:t>
      </w:r>
      <w:r>
        <w:rPr>
          <w:rStyle w:val="Strong"/>
          <w:rFonts w:ascii="Times New Roman" w:hAnsi="Times New Roman" w:cs="Times New Roman"/>
          <w:b w:val="0"/>
          <w:bCs w:val="0"/>
          <w:sz w:val="24"/>
          <w:szCs w:val="24"/>
        </w:rPr>
        <w:t xml:space="preserve"> ECCOG sees a great need to offer some classes and trainings to the older adults for technolog</w:t>
      </w:r>
      <w:r w:rsidR="00791F01">
        <w:rPr>
          <w:rStyle w:val="Strong"/>
          <w:rFonts w:ascii="Times New Roman" w:hAnsi="Times New Roman" w:cs="Times New Roman"/>
          <w:b w:val="0"/>
          <w:bCs w:val="0"/>
          <w:sz w:val="24"/>
          <w:szCs w:val="24"/>
        </w:rPr>
        <w:t xml:space="preserve">y. This could be done through a system of intergenerational workshops where </w:t>
      </w:r>
      <w:r w:rsidR="002077DF">
        <w:rPr>
          <w:rStyle w:val="Strong"/>
          <w:rFonts w:ascii="Times New Roman" w:hAnsi="Times New Roman" w:cs="Times New Roman"/>
          <w:b w:val="0"/>
          <w:bCs w:val="0"/>
          <w:sz w:val="24"/>
          <w:szCs w:val="24"/>
        </w:rPr>
        <w:t xml:space="preserve">younger adults could teach the older adults how to use the technology. </w:t>
      </w:r>
      <w:r w:rsidR="00CB2664">
        <w:rPr>
          <w:rStyle w:val="Strong"/>
          <w:rFonts w:ascii="Times New Roman" w:hAnsi="Times New Roman" w:cs="Times New Roman"/>
          <w:b w:val="0"/>
          <w:bCs w:val="0"/>
          <w:sz w:val="24"/>
          <w:szCs w:val="24"/>
        </w:rPr>
        <w:t xml:space="preserve">The responses also </w:t>
      </w:r>
      <w:r w:rsidR="004D55DA">
        <w:rPr>
          <w:rStyle w:val="Strong"/>
          <w:rFonts w:ascii="Times New Roman" w:hAnsi="Times New Roman" w:cs="Times New Roman"/>
          <w:b w:val="0"/>
          <w:bCs w:val="0"/>
          <w:sz w:val="24"/>
          <w:szCs w:val="24"/>
        </w:rPr>
        <w:t xml:space="preserve">convey a need for better outreach and information </w:t>
      </w:r>
      <w:r w:rsidR="0050493A">
        <w:rPr>
          <w:rStyle w:val="Strong"/>
          <w:rFonts w:ascii="Times New Roman" w:hAnsi="Times New Roman" w:cs="Times New Roman"/>
          <w:b w:val="0"/>
          <w:bCs w:val="0"/>
          <w:sz w:val="24"/>
          <w:szCs w:val="24"/>
        </w:rPr>
        <w:t>regarding</w:t>
      </w:r>
      <w:r w:rsidR="004D55DA">
        <w:rPr>
          <w:rStyle w:val="Strong"/>
          <w:rFonts w:ascii="Times New Roman" w:hAnsi="Times New Roman" w:cs="Times New Roman"/>
          <w:b w:val="0"/>
          <w:bCs w:val="0"/>
          <w:sz w:val="24"/>
          <w:szCs w:val="24"/>
        </w:rPr>
        <w:t xml:space="preserve"> topics like dementia, Alzheimer’s, mental </w:t>
      </w:r>
      <w:r w:rsidR="0050493A">
        <w:rPr>
          <w:rStyle w:val="Strong"/>
          <w:rFonts w:ascii="Times New Roman" w:hAnsi="Times New Roman" w:cs="Times New Roman"/>
          <w:b w:val="0"/>
          <w:bCs w:val="0"/>
          <w:sz w:val="24"/>
          <w:szCs w:val="24"/>
        </w:rPr>
        <w:t>health,</w:t>
      </w:r>
      <w:r w:rsidR="004D55DA">
        <w:rPr>
          <w:rStyle w:val="Strong"/>
          <w:rFonts w:ascii="Times New Roman" w:hAnsi="Times New Roman" w:cs="Times New Roman"/>
          <w:b w:val="0"/>
          <w:bCs w:val="0"/>
          <w:sz w:val="24"/>
          <w:szCs w:val="24"/>
        </w:rPr>
        <w:t xml:space="preserve"> and grandparents raising grandchildren. </w:t>
      </w:r>
      <w:r w:rsidR="001565B4">
        <w:rPr>
          <w:rStyle w:val="Strong"/>
          <w:rFonts w:ascii="Times New Roman" w:hAnsi="Times New Roman" w:cs="Times New Roman"/>
          <w:b w:val="0"/>
          <w:bCs w:val="0"/>
          <w:sz w:val="24"/>
          <w:szCs w:val="24"/>
        </w:rPr>
        <w:t>ECCOG will take these survey</w:t>
      </w:r>
      <w:r w:rsidR="0050493A">
        <w:rPr>
          <w:rStyle w:val="Strong"/>
          <w:rFonts w:ascii="Times New Roman" w:hAnsi="Times New Roman" w:cs="Times New Roman"/>
          <w:b w:val="0"/>
          <w:bCs w:val="0"/>
          <w:sz w:val="24"/>
          <w:szCs w:val="24"/>
        </w:rPr>
        <w:t xml:space="preserve"> responses</w:t>
      </w:r>
      <w:r w:rsidR="001565B4">
        <w:rPr>
          <w:rStyle w:val="Strong"/>
          <w:rFonts w:ascii="Times New Roman" w:hAnsi="Times New Roman" w:cs="Times New Roman"/>
          <w:b w:val="0"/>
          <w:bCs w:val="0"/>
          <w:sz w:val="24"/>
          <w:szCs w:val="24"/>
        </w:rPr>
        <w:t xml:space="preserve"> along with </w:t>
      </w:r>
      <w:r w:rsidR="0050493A">
        <w:rPr>
          <w:rStyle w:val="Strong"/>
          <w:rFonts w:ascii="Times New Roman" w:hAnsi="Times New Roman" w:cs="Times New Roman"/>
          <w:b w:val="0"/>
          <w:bCs w:val="0"/>
          <w:sz w:val="24"/>
          <w:szCs w:val="24"/>
        </w:rPr>
        <w:t xml:space="preserve">feedback during public meetings and </w:t>
      </w:r>
      <w:r w:rsidR="000E42DA">
        <w:rPr>
          <w:rStyle w:val="Strong"/>
          <w:rFonts w:ascii="Times New Roman" w:hAnsi="Times New Roman" w:cs="Times New Roman"/>
          <w:b w:val="0"/>
          <w:bCs w:val="0"/>
          <w:sz w:val="24"/>
          <w:szCs w:val="24"/>
        </w:rPr>
        <w:t xml:space="preserve">work towards </w:t>
      </w:r>
      <w:r w:rsidR="002B273D">
        <w:rPr>
          <w:rStyle w:val="Strong"/>
          <w:rFonts w:ascii="Times New Roman" w:hAnsi="Times New Roman" w:cs="Times New Roman"/>
          <w:b w:val="0"/>
          <w:bCs w:val="0"/>
          <w:sz w:val="24"/>
          <w:szCs w:val="24"/>
        </w:rPr>
        <w:t>improving</w:t>
      </w:r>
      <w:r w:rsidR="000E42DA">
        <w:rPr>
          <w:rStyle w:val="Strong"/>
          <w:rFonts w:ascii="Times New Roman" w:hAnsi="Times New Roman" w:cs="Times New Roman"/>
          <w:b w:val="0"/>
          <w:bCs w:val="0"/>
          <w:sz w:val="24"/>
          <w:szCs w:val="24"/>
        </w:rPr>
        <w:t xml:space="preserve"> service</w:t>
      </w:r>
      <w:r w:rsidR="0084466A">
        <w:rPr>
          <w:rStyle w:val="Strong"/>
          <w:rFonts w:ascii="Times New Roman" w:hAnsi="Times New Roman" w:cs="Times New Roman"/>
          <w:b w:val="0"/>
          <w:bCs w:val="0"/>
          <w:sz w:val="24"/>
          <w:szCs w:val="24"/>
        </w:rPr>
        <w:t>s</w:t>
      </w:r>
      <w:r w:rsidR="002B273D">
        <w:rPr>
          <w:rStyle w:val="Strong"/>
          <w:rFonts w:ascii="Times New Roman" w:hAnsi="Times New Roman" w:cs="Times New Roman"/>
          <w:b w:val="0"/>
          <w:bCs w:val="0"/>
          <w:sz w:val="24"/>
          <w:szCs w:val="24"/>
        </w:rPr>
        <w:t>,</w:t>
      </w:r>
      <w:r w:rsidR="000E42DA">
        <w:rPr>
          <w:rStyle w:val="Strong"/>
          <w:rFonts w:ascii="Times New Roman" w:hAnsi="Times New Roman" w:cs="Times New Roman"/>
          <w:b w:val="0"/>
          <w:bCs w:val="0"/>
          <w:sz w:val="24"/>
          <w:szCs w:val="24"/>
        </w:rPr>
        <w:t xml:space="preserve"> program</w:t>
      </w:r>
      <w:r w:rsidR="0084466A">
        <w:rPr>
          <w:rStyle w:val="Strong"/>
          <w:rFonts w:ascii="Times New Roman" w:hAnsi="Times New Roman" w:cs="Times New Roman"/>
          <w:b w:val="0"/>
          <w:bCs w:val="0"/>
          <w:sz w:val="24"/>
          <w:szCs w:val="24"/>
        </w:rPr>
        <w:t>s</w:t>
      </w:r>
      <w:r w:rsidR="002B273D">
        <w:rPr>
          <w:rStyle w:val="Strong"/>
          <w:rFonts w:ascii="Times New Roman" w:hAnsi="Times New Roman" w:cs="Times New Roman"/>
          <w:b w:val="0"/>
          <w:bCs w:val="0"/>
          <w:sz w:val="24"/>
          <w:szCs w:val="24"/>
        </w:rPr>
        <w:t>,</w:t>
      </w:r>
      <w:r w:rsidR="000E42DA">
        <w:rPr>
          <w:rStyle w:val="Strong"/>
          <w:rFonts w:ascii="Times New Roman" w:hAnsi="Times New Roman" w:cs="Times New Roman"/>
          <w:b w:val="0"/>
          <w:bCs w:val="0"/>
          <w:sz w:val="24"/>
          <w:szCs w:val="24"/>
        </w:rPr>
        <w:t xml:space="preserve"> information </w:t>
      </w:r>
      <w:r w:rsidR="00C011AE">
        <w:rPr>
          <w:rStyle w:val="Strong"/>
          <w:rFonts w:ascii="Times New Roman" w:hAnsi="Times New Roman" w:cs="Times New Roman"/>
          <w:b w:val="0"/>
          <w:bCs w:val="0"/>
          <w:sz w:val="24"/>
          <w:szCs w:val="24"/>
        </w:rPr>
        <w:t>dissemination, and</w:t>
      </w:r>
      <w:r w:rsidR="000E42DA">
        <w:rPr>
          <w:rStyle w:val="Strong"/>
          <w:rFonts w:ascii="Times New Roman" w:hAnsi="Times New Roman" w:cs="Times New Roman"/>
          <w:b w:val="0"/>
          <w:bCs w:val="0"/>
          <w:sz w:val="24"/>
          <w:szCs w:val="24"/>
        </w:rPr>
        <w:t xml:space="preserve"> expanding </w:t>
      </w:r>
      <w:r w:rsidR="002B273D">
        <w:rPr>
          <w:rStyle w:val="Strong"/>
          <w:rFonts w:ascii="Times New Roman" w:hAnsi="Times New Roman" w:cs="Times New Roman"/>
          <w:b w:val="0"/>
          <w:bCs w:val="0"/>
          <w:sz w:val="24"/>
          <w:szCs w:val="24"/>
        </w:rPr>
        <w:t xml:space="preserve">on </w:t>
      </w:r>
      <w:r w:rsidR="000E42DA">
        <w:rPr>
          <w:rStyle w:val="Strong"/>
          <w:rFonts w:ascii="Times New Roman" w:hAnsi="Times New Roman" w:cs="Times New Roman"/>
          <w:b w:val="0"/>
          <w:bCs w:val="0"/>
          <w:sz w:val="24"/>
          <w:szCs w:val="24"/>
        </w:rPr>
        <w:t xml:space="preserve">existing services. </w:t>
      </w:r>
    </w:p>
    <w:p w14:paraId="25D868B4" w14:textId="5BC13FAC" w:rsidR="00524419" w:rsidRDefault="00524419" w:rsidP="001A65CA">
      <w:pPr>
        <w:jc w:val="both"/>
        <w:rPr>
          <w:rStyle w:val="Strong"/>
        </w:rPr>
      </w:pPr>
      <w:r>
        <w:rPr>
          <w:rStyle w:val="Strong"/>
        </w:rPr>
        <w:br w:type="page"/>
      </w:r>
    </w:p>
    <w:p w14:paraId="5B0B4995" w14:textId="69CD3CA6" w:rsidR="00ED0CC0" w:rsidRPr="00A6669C" w:rsidRDefault="00125131" w:rsidP="00125131">
      <w:pPr>
        <w:pStyle w:val="Heading1"/>
        <w:rPr>
          <w:rStyle w:val="Strong"/>
          <w:rFonts w:ascii="Times New Roman" w:hAnsi="Times New Roman" w:cs="Times New Roman"/>
          <w:b w:val="0"/>
        </w:rPr>
      </w:pPr>
      <w:bookmarkStart w:id="4" w:name="_Toc130291146"/>
      <w:r w:rsidRPr="00A6669C">
        <w:rPr>
          <w:rStyle w:val="Strong"/>
          <w:rFonts w:ascii="Times New Roman" w:hAnsi="Times New Roman" w:cs="Times New Roman"/>
          <w:b w:val="0"/>
        </w:rPr>
        <w:lastRenderedPageBreak/>
        <w:t>Section III: Demographics</w:t>
      </w:r>
      <w:bookmarkEnd w:id="4"/>
    </w:p>
    <w:p w14:paraId="2C512AAB" w14:textId="545F62AF" w:rsidR="002E6B98" w:rsidRPr="00232D1D" w:rsidRDefault="002E6B98"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The AAA will include the population projections for the AAA Region over the next four years for individuals over </w:t>
      </w:r>
      <w:r w:rsidR="00CA575A" w:rsidRPr="00232D1D">
        <w:rPr>
          <w:rFonts w:ascii="Times New Roman" w:hAnsi="Times New Roman" w:cs="Times New Roman"/>
          <w:sz w:val="24"/>
          <w:szCs w:val="24"/>
        </w:rPr>
        <w:t>6</w:t>
      </w:r>
      <w:r w:rsidRPr="00232D1D">
        <w:rPr>
          <w:rFonts w:ascii="Times New Roman" w:hAnsi="Times New Roman" w:cs="Times New Roman"/>
          <w:sz w:val="24"/>
          <w:szCs w:val="24"/>
        </w:rPr>
        <w:t xml:space="preserve">0 in the </w:t>
      </w:r>
      <w:r w:rsidR="008672ED" w:rsidRPr="00232D1D">
        <w:rPr>
          <w:rFonts w:ascii="Times New Roman" w:hAnsi="Times New Roman" w:cs="Times New Roman"/>
          <w:sz w:val="24"/>
          <w:szCs w:val="24"/>
        </w:rPr>
        <w:t>c</w:t>
      </w:r>
      <w:r w:rsidRPr="00232D1D">
        <w:rPr>
          <w:rFonts w:ascii="Times New Roman" w:hAnsi="Times New Roman" w:cs="Times New Roman"/>
          <w:sz w:val="24"/>
          <w:szCs w:val="24"/>
        </w:rPr>
        <w:t>ategories of: low</w:t>
      </w:r>
      <w:r w:rsidR="005F57C3" w:rsidRPr="00232D1D">
        <w:rPr>
          <w:rFonts w:ascii="Times New Roman" w:hAnsi="Times New Roman" w:cs="Times New Roman"/>
          <w:sz w:val="24"/>
          <w:szCs w:val="24"/>
        </w:rPr>
        <w:t>-income, over 75, rural, ethnic minority, and below the poverty level</w:t>
      </w:r>
      <w:r w:rsidR="00832D95" w:rsidRPr="00232D1D">
        <w:rPr>
          <w:rFonts w:ascii="Times New Roman" w:hAnsi="Times New Roman" w:cs="Times New Roman"/>
          <w:sz w:val="24"/>
          <w:szCs w:val="24"/>
        </w:rPr>
        <w:t xml:space="preserve">. The AAA will provide an interpretation of how the AAA region is changing in terms of the demographic shifts and what impact these changes may have on the funding levels and services provided </w:t>
      </w:r>
      <w:r w:rsidR="008672ED" w:rsidRPr="00232D1D">
        <w:rPr>
          <w:rFonts w:ascii="Times New Roman" w:hAnsi="Times New Roman" w:cs="Times New Roman"/>
          <w:sz w:val="24"/>
          <w:szCs w:val="24"/>
        </w:rPr>
        <w:t>by the AAA.</w:t>
      </w:r>
    </w:p>
    <w:p w14:paraId="1A2149DD" w14:textId="312B5FFD" w:rsidR="008672ED" w:rsidRPr="00232D1D" w:rsidRDefault="008672ED" w:rsidP="00232D1D">
      <w:pPr>
        <w:jc w:val="both"/>
        <w:rPr>
          <w:rFonts w:ascii="Times New Roman" w:hAnsi="Times New Roman" w:cs="Times New Roman"/>
          <w:sz w:val="24"/>
          <w:szCs w:val="24"/>
        </w:rPr>
      </w:pPr>
      <w:r w:rsidRPr="00232D1D">
        <w:rPr>
          <w:rFonts w:ascii="Times New Roman" w:hAnsi="Times New Roman" w:cs="Times New Roman"/>
          <w:sz w:val="24"/>
          <w:szCs w:val="24"/>
        </w:rPr>
        <w:t>Statistics</w:t>
      </w:r>
      <w:r w:rsidR="000011F1" w:rsidRPr="00232D1D">
        <w:rPr>
          <w:rFonts w:ascii="Times New Roman" w:hAnsi="Times New Roman" w:cs="Times New Roman"/>
          <w:sz w:val="24"/>
          <w:szCs w:val="24"/>
        </w:rPr>
        <w:t xml:space="preserve"> </w:t>
      </w:r>
      <w:r w:rsidR="00F40807" w:rsidRPr="00232D1D">
        <w:rPr>
          <w:rFonts w:ascii="Times New Roman" w:hAnsi="Times New Roman" w:cs="Times New Roman"/>
          <w:sz w:val="24"/>
          <w:szCs w:val="24"/>
        </w:rPr>
        <w:t>were sourced from the State Demographer’s website</w:t>
      </w:r>
      <w:r w:rsidR="000011F1" w:rsidRPr="00232D1D">
        <w:rPr>
          <w:rFonts w:ascii="Times New Roman" w:hAnsi="Times New Roman" w:cs="Times New Roman"/>
          <w:sz w:val="24"/>
          <w:szCs w:val="24"/>
        </w:rPr>
        <w:t xml:space="preserve"> to </w:t>
      </w:r>
      <w:r w:rsidR="00DD640A" w:rsidRPr="00232D1D">
        <w:rPr>
          <w:rFonts w:ascii="Times New Roman" w:hAnsi="Times New Roman" w:cs="Times New Roman"/>
          <w:sz w:val="24"/>
          <w:szCs w:val="24"/>
        </w:rPr>
        <w:t>create the figures below</w:t>
      </w:r>
      <w:r w:rsidR="0078125E" w:rsidRPr="00232D1D">
        <w:rPr>
          <w:rFonts w:ascii="Times New Roman" w:hAnsi="Times New Roman" w:cs="Times New Roman"/>
          <w:sz w:val="24"/>
          <w:szCs w:val="24"/>
        </w:rPr>
        <w:t xml:space="preserve">. The </w:t>
      </w:r>
      <w:r w:rsidR="00AA61A9" w:rsidRPr="00232D1D">
        <w:rPr>
          <w:rFonts w:ascii="Times New Roman" w:hAnsi="Times New Roman" w:cs="Times New Roman"/>
          <w:sz w:val="24"/>
          <w:szCs w:val="24"/>
        </w:rPr>
        <w:t>Demographer’s data is categorized by gender</w:t>
      </w:r>
      <w:r w:rsidR="007B4485" w:rsidRPr="00232D1D">
        <w:rPr>
          <w:rFonts w:ascii="Times New Roman" w:hAnsi="Times New Roman" w:cs="Times New Roman"/>
          <w:sz w:val="24"/>
          <w:szCs w:val="24"/>
        </w:rPr>
        <w:t xml:space="preserve"> and age</w:t>
      </w:r>
      <w:r w:rsidR="0045004B" w:rsidRPr="00232D1D">
        <w:rPr>
          <w:rFonts w:ascii="Times New Roman" w:hAnsi="Times New Roman" w:cs="Times New Roman"/>
          <w:sz w:val="24"/>
          <w:szCs w:val="24"/>
        </w:rPr>
        <w:t>. (</w:t>
      </w:r>
      <w:hyperlink r:id="rId9" w:history="1">
        <w:r w:rsidR="007B46DA" w:rsidRPr="00E4523B">
          <w:rPr>
            <w:rStyle w:val="Hyperlink"/>
            <w:rFonts w:ascii="Times New Roman" w:hAnsi="Times New Roman" w:cs="Times New Roman"/>
            <w:sz w:val="24"/>
            <w:szCs w:val="24"/>
          </w:rPr>
          <w:t>State Demography Website</w:t>
        </w:r>
      </w:hyperlink>
      <w:r w:rsidR="007B46DA" w:rsidRPr="00232D1D">
        <w:rPr>
          <w:rFonts w:ascii="Times New Roman" w:hAnsi="Times New Roman" w:cs="Times New Roman"/>
          <w:sz w:val="24"/>
          <w:szCs w:val="24"/>
        </w:rPr>
        <w:t>)</w:t>
      </w:r>
    </w:p>
    <w:p w14:paraId="6A00460E" w14:textId="083C1D7F" w:rsidR="000C7343" w:rsidRDefault="00B63CCD" w:rsidP="00232D1D">
      <w:pPr>
        <w:jc w:val="both"/>
        <w:rPr>
          <w:rFonts w:ascii="Times New Roman" w:hAnsi="Times New Roman" w:cs="Times New Roman"/>
          <w:sz w:val="24"/>
          <w:szCs w:val="24"/>
        </w:rPr>
      </w:pPr>
      <w:r>
        <w:rPr>
          <w:noProof/>
        </w:rPr>
        <w:drawing>
          <wp:anchor distT="0" distB="0" distL="114300" distR="114300" simplePos="0" relativeHeight="251658241" behindDoc="0" locked="0" layoutInCell="1" allowOverlap="1" wp14:anchorId="27E9440F" wp14:editId="23AF20A7">
            <wp:simplePos x="0" y="0"/>
            <wp:positionH relativeFrom="column">
              <wp:posOffset>0</wp:posOffset>
            </wp:positionH>
            <wp:positionV relativeFrom="paragraph">
              <wp:posOffset>492125</wp:posOffset>
            </wp:positionV>
            <wp:extent cx="5943600" cy="4312285"/>
            <wp:effectExtent l="0" t="0" r="0" b="12065"/>
            <wp:wrapTopAndBottom/>
            <wp:docPr id="2" name="Chart 2">
              <a:extLst xmlns:a="http://schemas.openxmlformats.org/drawingml/2006/main">
                <a:ext uri="{FF2B5EF4-FFF2-40B4-BE49-F238E27FC236}">
                  <a16:creationId xmlns:a16="http://schemas.microsoft.com/office/drawing/2014/main" id="{B1475016-661F-D15B-C6BD-8937A91370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C7343">
        <w:rPr>
          <w:rFonts w:ascii="Times New Roman" w:hAnsi="Times New Roman" w:cs="Times New Roman"/>
          <w:sz w:val="24"/>
          <w:szCs w:val="24"/>
        </w:rPr>
        <w:t xml:space="preserve">This first graph shows </w:t>
      </w:r>
      <w:r w:rsidR="00475A20">
        <w:rPr>
          <w:rFonts w:ascii="Times New Roman" w:hAnsi="Times New Roman" w:cs="Times New Roman"/>
          <w:sz w:val="24"/>
          <w:szCs w:val="24"/>
        </w:rPr>
        <w:t xml:space="preserve">the </w:t>
      </w:r>
      <w:r w:rsidR="00127178">
        <w:rPr>
          <w:rFonts w:ascii="Times New Roman" w:hAnsi="Times New Roman" w:cs="Times New Roman"/>
          <w:sz w:val="24"/>
          <w:szCs w:val="24"/>
        </w:rPr>
        <w:t>composition of older adults</w:t>
      </w:r>
      <w:r w:rsidR="00475A20">
        <w:rPr>
          <w:rFonts w:ascii="Times New Roman" w:hAnsi="Times New Roman" w:cs="Times New Roman"/>
          <w:sz w:val="24"/>
          <w:szCs w:val="24"/>
        </w:rPr>
        <w:t xml:space="preserve"> age</w:t>
      </w:r>
      <w:r w:rsidR="00127178">
        <w:rPr>
          <w:rFonts w:ascii="Times New Roman" w:hAnsi="Times New Roman" w:cs="Times New Roman"/>
          <w:sz w:val="24"/>
          <w:szCs w:val="24"/>
        </w:rPr>
        <w:t xml:space="preserve"> 55-100</w:t>
      </w:r>
      <w:r w:rsidR="00296622">
        <w:rPr>
          <w:rFonts w:ascii="Times New Roman" w:hAnsi="Times New Roman" w:cs="Times New Roman"/>
          <w:sz w:val="24"/>
          <w:szCs w:val="24"/>
        </w:rPr>
        <w:t xml:space="preserve"> in population across the region through</w:t>
      </w:r>
      <w:r w:rsidR="00127178">
        <w:rPr>
          <w:rFonts w:ascii="Times New Roman" w:hAnsi="Times New Roman" w:cs="Times New Roman"/>
          <w:sz w:val="24"/>
          <w:szCs w:val="24"/>
        </w:rPr>
        <w:t xml:space="preserve"> 2020-2023</w:t>
      </w:r>
      <w:r w:rsidR="00475A20">
        <w:rPr>
          <w:rFonts w:ascii="Times New Roman" w:hAnsi="Times New Roman" w:cs="Times New Roman"/>
          <w:sz w:val="24"/>
          <w:szCs w:val="24"/>
        </w:rPr>
        <w:t>.</w:t>
      </w:r>
    </w:p>
    <w:p w14:paraId="4A7FA3BD" w14:textId="0DBC34A4" w:rsidR="00475A20" w:rsidRPr="00A6669C" w:rsidRDefault="00475A20" w:rsidP="00232D1D">
      <w:pPr>
        <w:jc w:val="both"/>
        <w:rPr>
          <w:rFonts w:ascii="Times New Roman" w:hAnsi="Times New Roman" w:cs="Times New Roman"/>
          <w:sz w:val="24"/>
          <w:szCs w:val="24"/>
        </w:rPr>
      </w:pPr>
    </w:p>
    <w:p w14:paraId="11B176CB" w14:textId="16540B6E" w:rsidR="00296622" w:rsidRDefault="007062D5" w:rsidP="00232D1D">
      <w:pPr>
        <w:jc w:val="both"/>
        <w:rPr>
          <w:rFonts w:ascii="Times New Roman" w:hAnsi="Times New Roman" w:cs="Times New Roman"/>
          <w:sz w:val="24"/>
          <w:szCs w:val="24"/>
        </w:rPr>
      </w:pPr>
      <w:r>
        <w:rPr>
          <w:rFonts w:ascii="Times New Roman" w:hAnsi="Times New Roman" w:cs="Times New Roman"/>
          <w:sz w:val="24"/>
          <w:szCs w:val="24"/>
        </w:rPr>
        <w:t xml:space="preserve">As you can see the Baby Boomer generation </w:t>
      </w:r>
      <w:r w:rsidR="003F22CC">
        <w:rPr>
          <w:rFonts w:ascii="Times New Roman" w:hAnsi="Times New Roman" w:cs="Times New Roman"/>
          <w:sz w:val="24"/>
          <w:szCs w:val="24"/>
        </w:rPr>
        <w:t>dominates</w:t>
      </w:r>
      <w:r>
        <w:rPr>
          <w:rFonts w:ascii="Times New Roman" w:hAnsi="Times New Roman" w:cs="Times New Roman"/>
          <w:sz w:val="24"/>
          <w:szCs w:val="24"/>
        </w:rPr>
        <w:t xml:space="preserve"> compared to the other three generations</w:t>
      </w:r>
      <w:r w:rsidR="00924BDE">
        <w:rPr>
          <w:rFonts w:ascii="Times New Roman" w:hAnsi="Times New Roman" w:cs="Times New Roman"/>
          <w:sz w:val="24"/>
          <w:szCs w:val="24"/>
        </w:rPr>
        <w:t xml:space="preserve"> in total population</w:t>
      </w:r>
      <w:r>
        <w:rPr>
          <w:rFonts w:ascii="Times New Roman" w:hAnsi="Times New Roman" w:cs="Times New Roman"/>
          <w:sz w:val="24"/>
          <w:szCs w:val="24"/>
        </w:rPr>
        <w:t xml:space="preserve">. </w:t>
      </w:r>
      <w:r w:rsidR="00FB37B7">
        <w:rPr>
          <w:rFonts w:ascii="Times New Roman" w:hAnsi="Times New Roman" w:cs="Times New Roman"/>
          <w:sz w:val="24"/>
          <w:szCs w:val="24"/>
        </w:rPr>
        <w:t>Generation X adults are just coming of age to be eligible for AAA programs and services.</w:t>
      </w:r>
      <w:r w:rsidR="003317BC">
        <w:rPr>
          <w:rFonts w:ascii="Times New Roman" w:hAnsi="Times New Roman" w:cs="Times New Roman"/>
          <w:sz w:val="24"/>
          <w:szCs w:val="24"/>
        </w:rPr>
        <w:t xml:space="preserve"> That shift will bring some new needs</w:t>
      </w:r>
      <w:r w:rsidR="00B17B47">
        <w:rPr>
          <w:rFonts w:ascii="Times New Roman" w:hAnsi="Times New Roman" w:cs="Times New Roman"/>
          <w:sz w:val="24"/>
          <w:szCs w:val="24"/>
        </w:rPr>
        <w:t xml:space="preserve"> </w:t>
      </w:r>
      <w:r w:rsidR="003317BC">
        <w:rPr>
          <w:rFonts w:ascii="Times New Roman" w:hAnsi="Times New Roman" w:cs="Times New Roman"/>
          <w:sz w:val="24"/>
          <w:szCs w:val="24"/>
        </w:rPr>
        <w:t xml:space="preserve">as the older generations ‘Boomers’, ‘Silent’ and ‘Greatest’ are </w:t>
      </w:r>
      <w:r w:rsidR="00B17B47">
        <w:rPr>
          <w:rFonts w:ascii="Times New Roman" w:hAnsi="Times New Roman" w:cs="Times New Roman"/>
          <w:sz w:val="24"/>
          <w:szCs w:val="24"/>
        </w:rPr>
        <w:t xml:space="preserve">progressing towards the later stages of life. They are less inclined to use newer </w:t>
      </w:r>
      <w:r w:rsidR="00B17B47">
        <w:rPr>
          <w:rFonts w:ascii="Times New Roman" w:hAnsi="Times New Roman" w:cs="Times New Roman"/>
          <w:sz w:val="24"/>
          <w:szCs w:val="24"/>
        </w:rPr>
        <w:lastRenderedPageBreak/>
        <w:t>technology and resources available</w:t>
      </w:r>
      <w:r w:rsidR="00425D0A">
        <w:rPr>
          <w:rFonts w:ascii="Times New Roman" w:hAnsi="Times New Roman" w:cs="Times New Roman"/>
          <w:sz w:val="24"/>
          <w:szCs w:val="24"/>
        </w:rPr>
        <w:t xml:space="preserve">, while the Generation X will likely use technology more and as years progress. </w:t>
      </w:r>
      <w:r w:rsidR="0086355F">
        <w:rPr>
          <w:rFonts w:ascii="Times New Roman" w:hAnsi="Times New Roman" w:cs="Times New Roman"/>
          <w:sz w:val="24"/>
          <w:szCs w:val="24"/>
        </w:rPr>
        <w:t>Increasing the need for better technological infrastructure and supports to</w:t>
      </w:r>
      <w:r w:rsidR="00231506">
        <w:rPr>
          <w:rFonts w:ascii="Times New Roman" w:hAnsi="Times New Roman" w:cs="Times New Roman"/>
          <w:sz w:val="24"/>
          <w:szCs w:val="24"/>
        </w:rPr>
        <w:t xml:space="preserve"> serve the older adults moving forward.</w:t>
      </w:r>
    </w:p>
    <w:p w14:paraId="334CE8E5" w14:textId="455BACE7" w:rsidR="006C53C7" w:rsidRDefault="006C53C7" w:rsidP="00232D1D">
      <w:pPr>
        <w:jc w:val="both"/>
        <w:rPr>
          <w:rFonts w:ascii="Times New Roman" w:hAnsi="Times New Roman" w:cs="Times New Roman"/>
          <w:sz w:val="24"/>
          <w:szCs w:val="24"/>
        </w:rPr>
      </w:pPr>
      <w:r>
        <w:rPr>
          <w:rFonts w:ascii="Times New Roman" w:hAnsi="Times New Roman" w:cs="Times New Roman"/>
          <w:sz w:val="24"/>
          <w:szCs w:val="24"/>
        </w:rPr>
        <w:t>The following graph shows a depiction of the next four years</w:t>
      </w:r>
      <w:r w:rsidR="00556679">
        <w:rPr>
          <w:rFonts w:ascii="Times New Roman" w:hAnsi="Times New Roman" w:cs="Times New Roman"/>
          <w:sz w:val="24"/>
          <w:szCs w:val="24"/>
        </w:rPr>
        <w:t>, 2024-2027.</w:t>
      </w:r>
    </w:p>
    <w:p w14:paraId="7E8F326F" w14:textId="360FA4F0" w:rsidR="000674DC" w:rsidRDefault="000674DC" w:rsidP="00232D1D">
      <w:pPr>
        <w:jc w:val="both"/>
        <w:rPr>
          <w:rFonts w:ascii="Times New Roman" w:hAnsi="Times New Roman" w:cs="Times New Roman"/>
          <w:sz w:val="24"/>
          <w:szCs w:val="24"/>
        </w:rPr>
      </w:pPr>
      <w:r>
        <w:rPr>
          <w:noProof/>
        </w:rPr>
        <w:drawing>
          <wp:anchor distT="0" distB="0" distL="114300" distR="114300" simplePos="0" relativeHeight="251658243" behindDoc="0" locked="0" layoutInCell="1" allowOverlap="1" wp14:anchorId="47C43290" wp14:editId="5FA0F395">
            <wp:simplePos x="0" y="0"/>
            <wp:positionH relativeFrom="column">
              <wp:posOffset>0</wp:posOffset>
            </wp:positionH>
            <wp:positionV relativeFrom="paragraph">
              <wp:posOffset>-3175</wp:posOffset>
            </wp:positionV>
            <wp:extent cx="5943600" cy="4312285"/>
            <wp:effectExtent l="0" t="0" r="0" b="12065"/>
            <wp:wrapTopAndBottom/>
            <wp:docPr id="4" name="Chart 4">
              <a:extLst xmlns:a="http://schemas.openxmlformats.org/drawingml/2006/main">
                <a:ext uri="{FF2B5EF4-FFF2-40B4-BE49-F238E27FC236}">
                  <a16:creationId xmlns:a16="http://schemas.microsoft.com/office/drawing/2014/main" id="{B1475016-661F-D15B-C6BD-8937A91370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3701F7D" w14:textId="4D2E8E93" w:rsidR="005A2D90" w:rsidRDefault="00556679" w:rsidP="00232D1D">
      <w:pPr>
        <w:jc w:val="both"/>
        <w:rPr>
          <w:rFonts w:ascii="Times New Roman" w:hAnsi="Times New Roman" w:cs="Times New Roman"/>
          <w:sz w:val="24"/>
          <w:szCs w:val="24"/>
        </w:rPr>
      </w:pPr>
      <w:r>
        <w:rPr>
          <w:rFonts w:ascii="Times New Roman" w:hAnsi="Times New Roman" w:cs="Times New Roman"/>
          <w:sz w:val="24"/>
          <w:szCs w:val="24"/>
        </w:rPr>
        <w:t xml:space="preserve">From the above graph you will see more of the Generation X </w:t>
      </w:r>
      <w:r w:rsidR="000E4D9C">
        <w:rPr>
          <w:rFonts w:ascii="Times New Roman" w:hAnsi="Times New Roman" w:cs="Times New Roman"/>
          <w:sz w:val="24"/>
          <w:szCs w:val="24"/>
        </w:rPr>
        <w:t>population coming into the picture</w:t>
      </w:r>
      <w:r w:rsidR="00613D2F">
        <w:rPr>
          <w:rFonts w:ascii="Times New Roman" w:hAnsi="Times New Roman" w:cs="Times New Roman"/>
          <w:sz w:val="24"/>
          <w:szCs w:val="24"/>
        </w:rPr>
        <w:t xml:space="preserve"> and should notice that </w:t>
      </w:r>
      <w:r w:rsidR="002E1F99">
        <w:rPr>
          <w:rFonts w:ascii="Times New Roman" w:hAnsi="Times New Roman" w:cs="Times New Roman"/>
          <w:sz w:val="24"/>
          <w:szCs w:val="24"/>
        </w:rPr>
        <w:t>their</w:t>
      </w:r>
      <w:r w:rsidR="00613D2F">
        <w:rPr>
          <w:rFonts w:ascii="Times New Roman" w:hAnsi="Times New Roman" w:cs="Times New Roman"/>
          <w:sz w:val="24"/>
          <w:szCs w:val="24"/>
        </w:rPr>
        <w:t xml:space="preserve"> cumulative numbers still are not near what the Baby Boomer generation </w:t>
      </w:r>
      <w:r w:rsidR="00E654ED">
        <w:rPr>
          <w:rFonts w:ascii="Times New Roman" w:hAnsi="Times New Roman" w:cs="Times New Roman"/>
          <w:sz w:val="24"/>
          <w:szCs w:val="24"/>
        </w:rPr>
        <w:t xml:space="preserve">is comprised of. </w:t>
      </w:r>
      <w:r w:rsidR="00D702B7">
        <w:rPr>
          <w:rFonts w:ascii="Times New Roman" w:hAnsi="Times New Roman" w:cs="Times New Roman"/>
          <w:sz w:val="24"/>
          <w:szCs w:val="24"/>
        </w:rPr>
        <w:t>This shows a trend that for the next 20 years or so, Region 5 will have a lot of older adults who will be needing more services.</w:t>
      </w:r>
      <w:r w:rsidR="0041224D">
        <w:rPr>
          <w:rFonts w:ascii="Times New Roman" w:hAnsi="Times New Roman" w:cs="Times New Roman"/>
          <w:sz w:val="24"/>
          <w:szCs w:val="24"/>
        </w:rPr>
        <w:t xml:space="preserve"> This </w:t>
      </w:r>
      <w:r w:rsidR="00B54314">
        <w:rPr>
          <w:rFonts w:ascii="Times New Roman" w:hAnsi="Times New Roman" w:cs="Times New Roman"/>
          <w:sz w:val="24"/>
          <w:szCs w:val="24"/>
        </w:rPr>
        <w:t xml:space="preserve">will </w:t>
      </w:r>
      <w:r w:rsidR="00A91E43">
        <w:rPr>
          <w:rFonts w:ascii="Times New Roman" w:hAnsi="Times New Roman" w:cs="Times New Roman"/>
          <w:sz w:val="24"/>
          <w:szCs w:val="24"/>
        </w:rPr>
        <w:t>require diligent use</w:t>
      </w:r>
      <w:r w:rsidR="0041224D">
        <w:rPr>
          <w:rFonts w:ascii="Times New Roman" w:hAnsi="Times New Roman" w:cs="Times New Roman"/>
          <w:sz w:val="24"/>
          <w:szCs w:val="24"/>
        </w:rPr>
        <w:t xml:space="preserve"> and monitoring</w:t>
      </w:r>
      <w:r w:rsidR="00A91E43">
        <w:rPr>
          <w:rFonts w:ascii="Times New Roman" w:hAnsi="Times New Roman" w:cs="Times New Roman"/>
          <w:sz w:val="24"/>
          <w:szCs w:val="24"/>
        </w:rPr>
        <w:t xml:space="preserve"> of OAA and SFSS funds </w:t>
      </w:r>
      <w:r w:rsidR="0041224D">
        <w:rPr>
          <w:rFonts w:ascii="Times New Roman" w:hAnsi="Times New Roman" w:cs="Times New Roman"/>
          <w:sz w:val="24"/>
          <w:szCs w:val="24"/>
        </w:rPr>
        <w:t>to ensure the AAA can support them and others as best they can.</w:t>
      </w:r>
      <w:r w:rsidR="001732D8">
        <w:rPr>
          <w:rFonts w:ascii="Times New Roman" w:hAnsi="Times New Roman" w:cs="Times New Roman"/>
          <w:sz w:val="24"/>
          <w:szCs w:val="24"/>
        </w:rPr>
        <w:t xml:space="preserve"> </w:t>
      </w:r>
    </w:p>
    <w:p w14:paraId="05E894D3" w14:textId="5AD39470" w:rsidR="00D430F3" w:rsidRDefault="00026726" w:rsidP="00232D1D">
      <w:pPr>
        <w:jc w:val="both"/>
        <w:rPr>
          <w:rFonts w:ascii="Times New Roman" w:hAnsi="Times New Roman" w:cs="Times New Roman"/>
          <w:sz w:val="24"/>
          <w:szCs w:val="24"/>
        </w:rPr>
      </w:pPr>
      <w:r>
        <w:rPr>
          <w:rFonts w:ascii="Times New Roman" w:hAnsi="Times New Roman" w:cs="Times New Roman"/>
          <w:sz w:val="24"/>
          <w:szCs w:val="24"/>
        </w:rPr>
        <w:t>Th</w:t>
      </w:r>
      <w:r w:rsidR="005A2D90">
        <w:rPr>
          <w:rFonts w:ascii="Times New Roman" w:hAnsi="Times New Roman" w:cs="Times New Roman"/>
          <w:sz w:val="24"/>
          <w:szCs w:val="24"/>
        </w:rPr>
        <w:t xml:space="preserve">e graph on the next page </w:t>
      </w:r>
      <w:r>
        <w:rPr>
          <w:rFonts w:ascii="Times New Roman" w:hAnsi="Times New Roman" w:cs="Times New Roman"/>
          <w:sz w:val="24"/>
          <w:szCs w:val="24"/>
        </w:rPr>
        <w:t>shows</w:t>
      </w:r>
      <w:r w:rsidR="008D4893">
        <w:rPr>
          <w:rFonts w:ascii="Times New Roman" w:hAnsi="Times New Roman" w:cs="Times New Roman"/>
          <w:sz w:val="24"/>
          <w:szCs w:val="24"/>
        </w:rPr>
        <w:t xml:space="preserve"> a comparison </w:t>
      </w:r>
      <w:r w:rsidR="003A18D7">
        <w:rPr>
          <w:rFonts w:ascii="Times New Roman" w:hAnsi="Times New Roman" w:cs="Times New Roman"/>
          <w:sz w:val="24"/>
          <w:szCs w:val="24"/>
        </w:rPr>
        <w:t xml:space="preserve">of population </w:t>
      </w:r>
      <w:r w:rsidR="008D4893">
        <w:rPr>
          <w:rFonts w:ascii="Times New Roman" w:hAnsi="Times New Roman" w:cs="Times New Roman"/>
          <w:sz w:val="24"/>
          <w:szCs w:val="24"/>
        </w:rPr>
        <w:t>between male and female individuals</w:t>
      </w:r>
      <w:r w:rsidR="003A18D7">
        <w:rPr>
          <w:rFonts w:ascii="Times New Roman" w:hAnsi="Times New Roman" w:cs="Times New Roman"/>
          <w:sz w:val="24"/>
          <w:szCs w:val="24"/>
        </w:rPr>
        <w:t xml:space="preserve"> across age categories 0</w:t>
      </w:r>
      <w:r w:rsidR="003D6B02">
        <w:rPr>
          <w:rFonts w:ascii="Times New Roman" w:hAnsi="Times New Roman" w:cs="Times New Roman"/>
          <w:sz w:val="24"/>
          <w:szCs w:val="24"/>
        </w:rPr>
        <w:t>-85</w:t>
      </w:r>
      <w:r w:rsidR="00B87D74">
        <w:rPr>
          <w:rFonts w:ascii="Times New Roman" w:hAnsi="Times New Roman" w:cs="Times New Roman"/>
          <w:sz w:val="24"/>
          <w:szCs w:val="24"/>
        </w:rPr>
        <w:t>.</w:t>
      </w:r>
      <w:r w:rsidR="008D4893">
        <w:rPr>
          <w:rFonts w:ascii="Times New Roman" w:hAnsi="Times New Roman" w:cs="Times New Roman"/>
          <w:sz w:val="24"/>
          <w:szCs w:val="24"/>
        </w:rPr>
        <w:t xml:space="preserve"> </w:t>
      </w:r>
    </w:p>
    <w:p w14:paraId="380F4F4A" w14:textId="552BA1BC" w:rsidR="00D430F3" w:rsidRDefault="00D430F3" w:rsidP="00232D1D">
      <w:pPr>
        <w:jc w:val="both"/>
        <w:rPr>
          <w:rFonts w:ascii="Times New Roman" w:hAnsi="Times New Roman" w:cs="Times New Roman"/>
          <w:sz w:val="24"/>
          <w:szCs w:val="24"/>
        </w:rPr>
      </w:pPr>
      <w:r>
        <w:rPr>
          <w:noProof/>
        </w:rPr>
        <w:lastRenderedPageBreak/>
        <w:drawing>
          <wp:anchor distT="0" distB="0" distL="114300" distR="114300" simplePos="0" relativeHeight="251658242" behindDoc="0" locked="0" layoutInCell="1" allowOverlap="1" wp14:anchorId="7BD24C50" wp14:editId="43037A5A">
            <wp:simplePos x="0" y="0"/>
            <wp:positionH relativeFrom="column">
              <wp:posOffset>0</wp:posOffset>
            </wp:positionH>
            <wp:positionV relativeFrom="paragraph">
              <wp:posOffset>-3175</wp:posOffset>
            </wp:positionV>
            <wp:extent cx="5943600" cy="3884930"/>
            <wp:effectExtent l="0" t="0" r="0" b="1270"/>
            <wp:wrapTopAndBottom/>
            <wp:docPr id="3" name="Chart 3">
              <a:extLst xmlns:a="http://schemas.openxmlformats.org/drawingml/2006/main">
                <a:ext uri="{FF2B5EF4-FFF2-40B4-BE49-F238E27FC236}">
                  <a16:creationId xmlns:a16="http://schemas.microsoft.com/office/drawing/2014/main" id="{52186619-53CA-9F3B-2449-E5BDAB5555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13AF88D" w14:textId="782C0CC0" w:rsidR="00D430F3" w:rsidRDefault="00C92149" w:rsidP="00232D1D">
      <w:pPr>
        <w:jc w:val="both"/>
        <w:rPr>
          <w:rFonts w:ascii="Times New Roman" w:hAnsi="Times New Roman" w:cs="Times New Roman"/>
          <w:sz w:val="24"/>
          <w:szCs w:val="24"/>
        </w:rPr>
      </w:pPr>
      <w:r>
        <w:rPr>
          <w:rFonts w:ascii="Times New Roman" w:hAnsi="Times New Roman" w:cs="Times New Roman"/>
          <w:sz w:val="24"/>
          <w:szCs w:val="24"/>
        </w:rPr>
        <w:t xml:space="preserve">As you may notice, there are more </w:t>
      </w:r>
      <w:r w:rsidR="00A82407">
        <w:rPr>
          <w:rFonts w:ascii="Times New Roman" w:hAnsi="Times New Roman" w:cs="Times New Roman"/>
          <w:sz w:val="24"/>
          <w:szCs w:val="24"/>
        </w:rPr>
        <w:t xml:space="preserve">adults </w:t>
      </w:r>
      <w:r w:rsidR="00FA3ABA">
        <w:rPr>
          <w:rFonts w:ascii="Times New Roman" w:hAnsi="Times New Roman" w:cs="Times New Roman"/>
          <w:sz w:val="24"/>
          <w:szCs w:val="24"/>
        </w:rPr>
        <w:t>between</w:t>
      </w:r>
      <w:r w:rsidR="00C62DAE">
        <w:rPr>
          <w:rFonts w:ascii="Times New Roman" w:hAnsi="Times New Roman" w:cs="Times New Roman"/>
          <w:sz w:val="24"/>
          <w:szCs w:val="24"/>
        </w:rPr>
        <w:t xml:space="preserve"> 55 and 60 than any other category.</w:t>
      </w:r>
      <w:r w:rsidR="00614FFD">
        <w:rPr>
          <w:rFonts w:ascii="Times New Roman" w:hAnsi="Times New Roman" w:cs="Times New Roman"/>
          <w:sz w:val="24"/>
          <w:szCs w:val="24"/>
        </w:rPr>
        <w:t xml:space="preserve"> There </w:t>
      </w:r>
      <w:r w:rsidR="00462BBD">
        <w:rPr>
          <w:rFonts w:ascii="Times New Roman" w:hAnsi="Times New Roman" w:cs="Times New Roman"/>
          <w:sz w:val="24"/>
          <w:szCs w:val="24"/>
        </w:rPr>
        <w:t>have</w:t>
      </w:r>
      <w:r w:rsidR="00614FFD">
        <w:rPr>
          <w:rFonts w:ascii="Times New Roman" w:hAnsi="Times New Roman" w:cs="Times New Roman"/>
          <w:sz w:val="24"/>
          <w:szCs w:val="24"/>
        </w:rPr>
        <w:t xml:space="preserve"> not </w:t>
      </w:r>
      <w:r w:rsidR="00462BBD">
        <w:rPr>
          <w:rFonts w:ascii="Times New Roman" w:hAnsi="Times New Roman" w:cs="Times New Roman"/>
          <w:sz w:val="24"/>
          <w:szCs w:val="24"/>
        </w:rPr>
        <w:t xml:space="preserve">been as many people born in </w:t>
      </w:r>
      <w:r w:rsidR="00292522">
        <w:rPr>
          <w:rFonts w:ascii="Times New Roman" w:hAnsi="Times New Roman" w:cs="Times New Roman"/>
          <w:sz w:val="24"/>
          <w:szCs w:val="24"/>
        </w:rPr>
        <w:t>subsequent generations, wh</w:t>
      </w:r>
      <w:r w:rsidR="00932BCF">
        <w:rPr>
          <w:rFonts w:ascii="Times New Roman" w:hAnsi="Times New Roman" w:cs="Times New Roman"/>
          <w:sz w:val="24"/>
          <w:szCs w:val="24"/>
        </w:rPr>
        <w:t>ich is reflected in this graphic.</w:t>
      </w:r>
    </w:p>
    <w:p w14:paraId="2319E310" w14:textId="0ED39F28" w:rsidR="00AE5D44" w:rsidRDefault="003A30FF" w:rsidP="00232D1D">
      <w:pPr>
        <w:jc w:val="both"/>
        <w:rPr>
          <w:rFonts w:ascii="Times New Roman" w:hAnsi="Times New Roman" w:cs="Times New Roman"/>
          <w:sz w:val="24"/>
          <w:szCs w:val="24"/>
        </w:rPr>
      </w:pPr>
      <w:r>
        <w:rPr>
          <w:rFonts w:ascii="Times New Roman" w:hAnsi="Times New Roman" w:cs="Times New Roman"/>
          <w:sz w:val="24"/>
          <w:szCs w:val="24"/>
        </w:rPr>
        <w:t xml:space="preserve">The ratio </w:t>
      </w:r>
      <w:r w:rsidR="004B33A5">
        <w:rPr>
          <w:rFonts w:ascii="Times New Roman" w:hAnsi="Times New Roman" w:cs="Times New Roman"/>
          <w:sz w:val="24"/>
          <w:szCs w:val="24"/>
        </w:rPr>
        <w:t>of male</w:t>
      </w:r>
      <w:r w:rsidR="00B26761">
        <w:rPr>
          <w:rFonts w:ascii="Times New Roman" w:hAnsi="Times New Roman" w:cs="Times New Roman"/>
          <w:sz w:val="24"/>
          <w:szCs w:val="24"/>
        </w:rPr>
        <w:t xml:space="preserve"> </w:t>
      </w:r>
      <w:r w:rsidR="00653231">
        <w:rPr>
          <w:rFonts w:ascii="Times New Roman" w:hAnsi="Times New Roman" w:cs="Times New Roman"/>
          <w:sz w:val="24"/>
          <w:szCs w:val="24"/>
        </w:rPr>
        <w:t>versus</w:t>
      </w:r>
      <w:r w:rsidR="00B26761">
        <w:rPr>
          <w:rFonts w:ascii="Times New Roman" w:hAnsi="Times New Roman" w:cs="Times New Roman"/>
          <w:sz w:val="24"/>
          <w:szCs w:val="24"/>
        </w:rPr>
        <w:t xml:space="preserve"> female individuals</w:t>
      </w:r>
      <w:r w:rsidR="00B5387D">
        <w:rPr>
          <w:rFonts w:ascii="Times New Roman" w:hAnsi="Times New Roman" w:cs="Times New Roman"/>
          <w:sz w:val="24"/>
          <w:szCs w:val="24"/>
        </w:rPr>
        <w:t xml:space="preserve"> in each age range</w:t>
      </w:r>
      <w:r w:rsidR="004256BE">
        <w:rPr>
          <w:rFonts w:ascii="Times New Roman" w:hAnsi="Times New Roman" w:cs="Times New Roman"/>
          <w:sz w:val="24"/>
          <w:szCs w:val="24"/>
        </w:rPr>
        <w:t xml:space="preserve"> is almost 50/50</w:t>
      </w:r>
      <w:r w:rsidR="00B5387D">
        <w:rPr>
          <w:rFonts w:ascii="Times New Roman" w:hAnsi="Times New Roman" w:cs="Times New Roman"/>
          <w:sz w:val="24"/>
          <w:szCs w:val="24"/>
        </w:rPr>
        <w:t>.</w:t>
      </w:r>
      <w:r w:rsidR="001C3E8C">
        <w:rPr>
          <w:rFonts w:ascii="Times New Roman" w:hAnsi="Times New Roman" w:cs="Times New Roman"/>
          <w:sz w:val="24"/>
          <w:szCs w:val="24"/>
        </w:rPr>
        <w:t xml:space="preserve"> Th</w:t>
      </w:r>
      <w:r w:rsidR="004B33A5">
        <w:rPr>
          <w:rFonts w:ascii="Times New Roman" w:hAnsi="Times New Roman" w:cs="Times New Roman"/>
          <w:sz w:val="24"/>
          <w:szCs w:val="24"/>
        </w:rPr>
        <w:t>i</w:t>
      </w:r>
      <w:r w:rsidR="001C3E8C">
        <w:rPr>
          <w:rFonts w:ascii="Times New Roman" w:hAnsi="Times New Roman" w:cs="Times New Roman"/>
          <w:sz w:val="24"/>
          <w:szCs w:val="24"/>
        </w:rPr>
        <w:t xml:space="preserve">s coincides with the two graphs above and their </w:t>
      </w:r>
      <w:r w:rsidR="00767982">
        <w:rPr>
          <w:rFonts w:ascii="Times New Roman" w:hAnsi="Times New Roman" w:cs="Times New Roman"/>
          <w:sz w:val="24"/>
          <w:szCs w:val="24"/>
        </w:rPr>
        <w:t xml:space="preserve">data </w:t>
      </w:r>
      <w:r w:rsidR="001C3E8C">
        <w:rPr>
          <w:rFonts w:ascii="Times New Roman" w:hAnsi="Times New Roman" w:cs="Times New Roman"/>
          <w:sz w:val="24"/>
          <w:szCs w:val="24"/>
        </w:rPr>
        <w:t xml:space="preserve">trend </w:t>
      </w:r>
      <w:r w:rsidR="004B33A5">
        <w:rPr>
          <w:rFonts w:ascii="Times New Roman" w:hAnsi="Times New Roman" w:cs="Times New Roman"/>
          <w:sz w:val="24"/>
          <w:szCs w:val="24"/>
        </w:rPr>
        <w:t>showing the Baby Boomer generation</w:t>
      </w:r>
      <w:r w:rsidR="00B5387D">
        <w:rPr>
          <w:rFonts w:ascii="Times New Roman" w:hAnsi="Times New Roman" w:cs="Times New Roman"/>
          <w:sz w:val="24"/>
          <w:szCs w:val="24"/>
        </w:rPr>
        <w:t xml:space="preserve"> </w:t>
      </w:r>
      <w:r w:rsidR="004B33A5">
        <w:rPr>
          <w:rFonts w:ascii="Times New Roman" w:hAnsi="Times New Roman" w:cs="Times New Roman"/>
          <w:sz w:val="24"/>
          <w:szCs w:val="24"/>
        </w:rPr>
        <w:t xml:space="preserve">being larger than those following, Generation X. </w:t>
      </w:r>
      <w:r w:rsidR="00372847">
        <w:rPr>
          <w:rFonts w:ascii="Times New Roman" w:hAnsi="Times New Roman" w:cs="Times New Roman"/>
          <w:sz w:val="24"/>
          <w:szCs w:val="24"/>
        </w:rPr>
        <w:t>Reiterating that the population will see a decrease in the coming three decades.</w:t>
      </w:r>
      <w:r w:rsidR="006D2C04" w:rsidRPr="006D2C04">
        <w:rPr>
          <w:rFonts w:ascii="Times New Roman" w:hAnsi="Times New Roman" w:cs="Times New Roman"/>
          <w:sz w:val="24"/>
          <w:szCs w:val="24"/>
        </w:rPr>
        <w:t xml:space="preserve"> </w:t>
      </w:r>
      <w:r w:rsidR="006D2C04">
        <w:rPr>
          <w:rFonts w:ascii="Times New Roman" w:hAnsi="Times New Roman" w:cs="Times New Roman"/>
          <w:sz w:val="24"/>
          <w:szCs w:val="24"/>
        </w:rPr>
        <w:t>Also, in terms of gender there are 115 more female individuals across the region than males who are age 50 and over.</w:t>
      </w:r>
    </w:p>
    <w:p w14:paraId="0CBB4E05" w14:textId="419E8D17" w:rsidR="00B26761" w:rsidRDefault="00AE5D44" w:rsidP="00232D1D">
      <w:pPr>
        <w:jc w:val="both"/>
        <w:rPr>
          <w:rFonts w:ascii="Times New Roman" w:hAnsi="Times New Roman" w:cs="Times New Roman"/>
          <w:sz w:val="24"/>
          <w:szCs w:val="24"/>
        </w:rPr>
      </w:pPr>
      <w:r>
        <w:rPr>
          <w:rFonts w:ascii="Times New Roman" w:hAnsi="Times New Roman" w:cs="Times New Roman"/>
          <w:sz w:val="24"/>
          <w:szCs w:val="24"/>
        </w:rPr>
        <w:t>When you compare the number of men who are 50+ to those who are younger, the younger</w:t>
      </w:r>
      <w:r w:rsidR="001101C5">
        <w:rPr>
          <w:rFonts w:ascii="Times New Roman" w:hAnsi="Times New Roman" w:cs="Times New Roman"/>
          <w:sz w:val="24"/>
          <w:szCs w:val="24"/>
        </w:rPr>
        <w:t xml:space="preserve"> ages possess about </w:t>
      </w:r>
      <w:r w:rsidR="00560D1E">
        <w:rPr>
          <w:rFonts w:ascii="Times New Roman" w:hAnsi="Times New Roman" w:cs="Times New Roman"/>
          <w:sz w:val="24"/>
          <w:szCs w:val="24"/>
        </w:rPr>
        <w:t>4,357 more</w:t>
      </w:r>
      <w:r w:rsidR="001101C5">
        <w:rPr>
          <w:rFonts w:ascii="Times New Roman" w:hAnsi="Times New Roman" w:cs="Times New Roman"/>
          <w:sz w:val="24"/>
          <w:szCs w:val="24"/>
        </w:rPr>
        <w:t xml:space="preserve"> indi</w:t>
      </w:r>
      <w:r w:rsidR="00FF0E13">
        <w:rPr>
          <w:rFonts w:ascii="Times New Roman" w:hAnsi="Times New Roman" w:cs="Times New Roman"/>
          <w:sz w:val="24"/>
          <w:szCs w:val="24"/>
        </w:rPr>
        <w:t>viduals. Women who are 50+ plus compared to their younger</w:t>
      </w:r>
      <w:r w:rsidR="00677B3F">
        <w:rPr>
          <w:rFonts w:ascii="Times New Roman" w:hAnsi="Times New Roman" w:cs="Times New Roman"/>
          <w:sz w:val="24"/>
          <w:szCs w:val="24"/>
        </w:rPr>
        <w:t xml:space="preserve"> populace are </w:t>
      </w:r>
      <w:r w:rsidR="00560D1E">
        <w:rPr>
          <w:rFonts w:ascii="Times New Roman" w:hAnsi="Times New Roman" w:cs="Times New Roman"/>
          <w:sz w:val="24"/>
          <w:szCs w:val="24"/>
        </w:rPr>
        <w:t>outnumbered</w:t>
      </w:r>
      <w:r w:rsidR="00677B3F">
        <w:rPr>
          <w:rFonts w:ascii="Times New Roman" w:hAnsi="Times New Roman" w:cs="Times New Roman"/>
          <w:sz w:val="24"/>
          <w:szCs w:val="24"/>
        </w:rPr>
        <w:t xml:space="preserve"> only by 3,052</w:t>
      </w:r>
      <w:r w:rsidR="00560D1E">
        <w:rPr>
          <w:rFonts w:ascii="Times New Roman" w:hAnsi="Times New Roman" w:cs="Times New Roman"/>
          <w:sz w:val="24"/>
          <w:szCs w:val="24"/>
        </w:rPr>
        <w:t xml:space="preserve"> individuals. Together this means the </w:t>
      </w:r>
      <w:r w:rsidR="0011324D">
        <w:rPr>
          <w:rFonts w:ascii="Times New Roman" w:hAnsi="Times New Roman" w:cs="Times New Roman"/>
          <w:sz w:val="24"/>
          <w:szCs w:val="24"/>
        </w:rPr>
        <w:t xml:space="preserve">younger population in 2020 outnumbered the older adults 50+ by </w:t>
      </w:r>
      <w:r w:rsidR="009F705F">
        <w:rPr>
          <w:rFonts w:ascii="Times New Roman" w:hAnsi="Times New Roman" w:cs="Times New Roman"/>
          <w:sz w:val="24"/>
          <w:szCs w:val="24"/>
        </w:rPr>
        <w:t xml:space="preserve">7,409 individuals. </w:t>
      </w:r>
      <w:r w:rsidR="000412DE">
        <w:rPr>
          <w:rFonts w:ascii="Times New Roman" w:hAnsi="Times New Roman" w:cs="Times New Roman"/>
          <w:sz w:val="24"/>
          <w:szCs w:val="24"/>
        </w:rPr>
        <w:t xml:space="preserve">This means that over time </w:t>
      </w:r>
      <w:r w:rsidR="00B871E1">
        <w:rPr>
          <w:rFonts w:ascii="Times New Roman" w:hAnsi="Times New Roman" w:cs="Times New Roman"/>
          <w:sz w:val="24"/>
          <w:szCs w:val="24"/>
        </w:rPr>
        <w:t>as generations age in coming decades overall, service levels will remain constant</w:t>
      </w:r>
      <w:r w:rsidR="005A2D90">
        <w:rPr>
          <w:rFonts w:ascii="Times New Roman" w:hAnsi="Times New Roman" w:cs="Times New Roman"/>
          <w:sz w:val="24"/>
          <w:szCs w:val="24"/>
        </w:rPr>
        <w:t xml:space="preserve"> with little variance in </w:t>
      </w:r>
      <w:r w:rsidR="00020691">
        <w:rPr>
          <w:rFonts w:ascii="Times New Roman" w:hAnsi="Times New Roman" w:cs="Times New Roman"/>
          <w:sz w:val="24"/>
          <w:szCs w:val="24"/>
        </w:rPr>
        <w:t>5-year</w:t>
      </w:r>
      <w:r w:rsidR="005A2D90">
        <w:rPr>
          <w:rFonts w:ascii="Times New Roman" w:hAnsi="Times New Roman" w:cs="Times New Roman"/>
          <w:sz w:val="24"/>
          <w:szCs w:val="24"/>
        </w:rPr>
        <w:t xml:space="preserve"> increments.</w:t>
      </w:r>
      <w:r w:rsidR="00B871E1">
        <w:rPr>
          <w:rFonts w:ascii="Times New Roman" w:hAnsi="Times New Roman" w:cs="Times New Roman"/>
          <w:sz w:val="24"/>
          <w:szCs w:val="24"/>
        </w:rPr>
        <w:t xml:space="preserve"> </w:t>
      </w:r>
      <w:r w:rsidR="006D5B7B">
        <w:rPr>
          <w:rFonts w:ascii="Times New Roman" w:hAnsi="Times New Roman" w:cs="Times New Roman"/>
          <w:sz w:val="24"/>
          <w:szCs w:val="24"/>
        </w:rPr>
        <w:t xml:space="preserve">ECCOG will see a slight boom here in the next 15-20 years as those who are 50-60 now, continue to age and </w:t>
      </w:r>
      <w:r w:rsidR="005A2D90">
        <w:rPr>
          <w:rFonts w:ascii="Times New Roman" w:hAnsi="Times New Roman" w:cs="Times New Roman"/>
          <w:sz w:val="24"/>
          <w:szCs w:val="24"/>
        </w:rPr>
        <w:t>may rely more heavily on services provided.</w:t>
      </w:r>
    </w:p>
    <w:p w14:paraId="55B4C3F4" w14:textId="37BF47A6" w:rsidR="00DE5CDB" w:rsidRPr="00DE5CDB" w:rsidRDefault="00DE5CDB" w:rsidP="00232D1D">
      <w:pPr>
        <w:jc w:val="both"/>
        <w:rPr>
          <w:rFonts w:ascii="Times New Roman" w:hAnsi="Times New Roman" w:cs="Times New Roman"/>
          <w:sz w:val="24"/>
          <w:szCs w:val="24"/>
        </w:rPr>
      </w:pPr>
      <w:r w:rsidRPr="00DE5CDB">
        <w:rPr>
          <w:rFonts w:ascii="Times New Roman" w:hAnsi="Times New Roman" w:cs="Times New Roman"/>
          <w:sz w:val="24"/>
          <w:szCs w:val="24"/>
        </w:rPr>
        <w:t xml:space="preserve">Based on this information, the AAA services </w:t>
      </w:r>
      <w:r w:rsidR="000E7F43">
        <w:rPr>
          <w:rFonts w:ascii="Times New Roman" w:hAnsi="Times New Roman" w:cs="Times New Roman"/>
          <w:sz w:val="24"/>
          <w:szCs w:val="24"/>
        </w:rPr>
        <w:t xml:space="preserve">will continue </w:t>
      </w:r>
      <w:r w:rsidRPr="00DE5CDB">
        <w:rPr>
          <w:rFonts w:ascii="Times New Roman" w:hAnsi="Times New Roman" w:cs="Times New Roman"/>
          <w:sz w:val="24"/>
          <w:szCs w:val="24"/>
        </w:rPr>
        <w:t>have a strong client base to provide services to</w:t>
      </w:r>
      <w:r w:rsidR="000E7F43">
        <w:rPr>
          <w:rFonts w:ascii="Times New Roman" w:hAnsi="Times New Roman" w:cs="Times New Roman"/>
          <w:sz w:val="24"/>
          <w:szCs w:val="24"/>
        </w:rPr>
        <w:t>,</w:t>
      </w:r>
      <w:r w:rsidRPr="00DE5CDB">
        <w:rPr>
          <w:rFonts w:ascii="Times New Roman" w:hAnsi="Times New Roman" w:cs="Times New Roman"/>
          <w:sz w:val="24"/>
          <w:szCs w:val="24"/>
        </w:rPr>
        <w:t xml:space="preserve"> and there remains a strong demand for such services in the next four years.</w:t>
      </w:r>
    </w:p>
    <w:p w14:paraId="2FA963A8" w14:textId="406974DE" w:rsidR="00DB1A24" w:rsidRDefault="00DB1A24" w:rsidP="00232D1D">
      <w:pPr>
        <w:jc w:val="both"/>
        <w:rPr>
          <w:rFonts w:ascii="Times New Roman" w:hAnsi="Times New Roman" w:cs="Times New Roman"/>
          <w:sz w:val="24"/>
          <w:szCs w:val="24"/>
        </w:rPr>
      </w:pPr>
      <w:r w:rsidRPr="00DB1A24">
        <w:rPr>
          <w:noProof/>
        </w:rPr>
        <w:lastRenderedPageBreak/>
        <w:drawing>
          <wp:anchor distT="0" distB="0" distL="114300" distR="114300" simplePos="0" relativeHeight="251658244" behindDoc="1" locked="0" layoutInCell="1" allowOverlap="1" wp14:anchorId="6F5CA737" wp14:editId="4CA4E881">
            <wp:simplePos x="0" y="0"/>
            <wp:positionH relativeFrom="column">
              <wp:posOffset>-1937703</wp:posOffset>
            </wp:positionH>
            <wp:positionV relativeFrom="page">
              <wp:posOffset>2856548</wp:posOffset>
            </wp:positionV>
            <wp:extent cx="8024495" cy="4147185"/>
            <wp:effectExtent l="0" t="4445" r="0" b="0"/>
            <wp:wrapTight wrapText="bothSides">
              <wp:wrapPolygon edited="0">
                <wp:start x="-12" y="19890"/>
                <wp:lineTo x="39" y="19890"/>
                <wp:lineTo x="808" y="20188"/>
                <wp:lineTo x="6552" y="20188"/>
                <wp:lineTo x="11526" y="20287"/>
                <wp:lineTo x="12295" y="17310"/>
                <wp:lineTo x="21525" y="17112"/>
                <wp:lineTo x="21525" y="1435"/>
                <wp:lineTo x="13936" y="1435"/>
                <wp:lineTo x="13936" y="344"/>
                <wp:lineTo x="7372" y="344"/>
                <wp:lineTo x="7372" y="1237"/>
                <wp:lineTo x="-12" y="1435"/>
                <wp:lineTo x="-12" y="1989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024495" cy="4147185"/>
                    </a:xfrm>
                    <a:prstGeom prst="rect">
                      <a:avLst/>
                    </a:prstGeom>
                    <a:noFill/>
                    <a:ln>
                      <a:noFill/>
                    </a:ln>
                  </pic:spPr>
                </pic:pic>
              </a:graphicData>
            </a:graphic>
          </wp:anchor>
        </w:drawing>
      </w:r>
    </w:p>
    <w:p w14:paraId="0CB5C467" w14:textId="2FAAA42F" w:rsidR="00DB1A24" w:rsidRDefault="00DB1A24" w:rsidP="00DB1A24">
      <w:pPr>
        <w:rPr>
          <w:rFonts w:ascii="Times New Roman" w:hAnsi="Times New Roman" w:cs="Times New Roman"/>
          <w:sz w:val="24"/>
          <w:szCs w:val="24"/>
        </w:rPr>
      </w:pPr>
      <w:r>
        <w:rPr>
          <w:rFonts w:ascii="Times New Roman" w:hAnsi="Times New Roman" w:cs="Times New Roman"/>
          <w:sz w:val="24"/>
          <w:szCs w:val="24"/>
        </w:rPr>
        <w:br w:type="page"/>
      </w:r>
    </w:p>
    <w:p w14:paraId="6412A1EB" w14:textId="1573C6E8" w:rsidR="00047BC2" w:rsidRDefault="00145ED2" w:rsidP="00232D1D">
      <w:pPr>
        <w:jc w:val="both"/>
        <w:rPr>
          <w:rFonts w:ascii="Times New Roman" w:hAnsi="Times New Roman" w:cs="Times New Roman"/>
          <w:sz w:val="24"/>
          <w:szCs w:val="24"/>
        </w:rPr>
      </w:pPr>
      <w:r w:rsidRPr="00A6669C">
        <w:rPr>
          <w:rFonts w:ascii="Times New Roman" w:hAnsi="Times New Roman" w:cs="Times New Roman"/>
          <w:sz w:val="24"/>
          <w:szCs w:val="24"/>
        </w:rPr>
        <w:lastRenderedPageBreak/>
        <w:t xml:space="preserve">The East Central Region is comprised of an area </w:t>
      </w:r>
      <w:r w:rsidR="008C0E07">
        <w:rPr>
          <w:rFonts w:ascii="Times New Roman" w:hAnsi="Times New Roman" w:cs="Times New Roman"/>
          <w:sz w:val="24"/>
          <w:szCs w:val="24"/>
        </w:rPr>
        <w:t xml:space="preserve">over </w:t>
      </w:r>
      <w:r w:rsidRPr="00A6669C">
        <w:rPr>
          <w:rFonts w:ascii="Times New Roman" w:hAnsi="Times New Roman" w:cs="Times New Roman"/>
          <w:sz w:val="24"/>
          <w:szCs w:val="24"/>
        </w:rPr>
        <w:t>8,</w:t>
      </w:r>
      <w:r w:rsidR="008C0E07">
        <w:rPr>
          <w:rFonts w:ascii="Times New Roman" w:hAnsi="Times New Roman" w:cs="Times New Roman"/>
          <w:sz w:val="24"/>
          <w:szCs w:val="24"/>
        </w:rPr>
        <w:t>000</w:t>
      </w:r>
      <w:r w:rsidRPr="00A6669C">
        <w:rPr>
          <w:rFonts w:ascii="Times New Roman" w:hAnsi="Times New Roman" w:cs="Times New Roman"/>
          <w:sz w:val="24"/>
          <w:szCs w:val="24"/>
        </w:rPr>
        <w:t xml:space="preserve"> square miles consisting of flat or gently rolling terrain. The region is sparsely populated</w:t>
      </w:r>
      <w:r w:rsidR="006E021E">
        <w:rPr>
          <w:rFonts w:ascii="Times New Roman" w:hAnsi="Times New Roman" w:cs="Times New Roman"/>
          <w:sz w:val="24"/>
          <w:szCs w:val="24"/>
        </w:rPr>
        <w:t xml:space="preserve"> with </w:t>
      </w:r>
      <w:r w:rsidR="008E088B">
        <w:rPr>
          <w:rFonts w:ascii="Times New Roman" w:hAnsi="Times New Roman" w:cs="Times New Roman"/>
          <w:sz w:val="24"/>
          <w:szCs w:val="24"/>
        </w:rPr>
        <w:t>most</w:t>
      </w:r>
      <w:r w:rsidR="006E021E">
        <w:rPr>
          <w:rFonts w:ascii="Times New Roman" w:hAnsi="Times New Roman" w:cs="Times New Roman"/>
          <w:sz w:val="24"/>
          <w:szCs w:val="24"/>
        </w:rPr>
        <w:t xml:space="preserve"> communities</w:t>
      </w:r>
      <w:r w:rsidR="008E088B">
        <w:rPr>
          <w:rFonts w:ascii="Times New Roman" w:hAnsi="Times New Roman" w:cs="Times New Roman"/>
          <w:sz w:val="24"/>
          <w:szCs w:val="24"/>
        </w:rPr>
        <w:t xml:space="preserve"> located</w:t>
      </w:r>
      <w:r w:rsidR="006E021E">
        <w:rPr>
          <w:rFonts w:ascii="Times New Roman" w:hAnsi="Times New Roman" w:cs="Times New Roman"/>
          <w:sz w:val="24"/>
          <w:szCs w:val="24"/>
        </w:rPr>
        <w:t xml:space="preserve"> along I-70</w:t>
      </w:r>
      <w:r w:rsidR="008E088B">
        <w:rPr>
          <w:rFonts w:ascii="Times New Roman" w:hAnsi="Times New Roman" w:cs="Times New Roman"/>
          <w:sz w:val="24"/>
          <w:szCs w:val="24"/>
        </w:rPr>
        <w:t xml:space="preserve">, or other major </w:t>
      </w:r>
      <w:r w:rsidR="009156CA">
        <w:rPr>
          <w:rFonts w:ascii="Times New Roman" w:hAnsi="Times New Roman" w:cs="Times New Roman"/>
          <w:sz w:val="24"/>
          <w:szCs w:val="24"/>
        </w:rPr>
        <w:t>highways</w:t>
      </w:r>
      <w:r w:rsidR="006E021E">
        <w:rPr>
          <w:rFonts w:ascii="Times New Roman" w:hAnsi="Times New Roman" w:cs="Times New Roman"/>
          <w:sz w:val="24"/>
          <w:szCs w:val="24"/>
        </w:rPr>
        <w:t xml:space="preserve">. </w:t>
      </w:r>
      <w:r w:rsidR="00047BC2">
        <w:rPr>
          <w:rFonts w:ascii="Times New Roman" w:hAnsi="Times New Roman" w:cs="Times New Roman"/>
          <w:sz w:val="24"/>
          <w:szCs w:val="24"/>
        </w:rPr>
        <w:t>For Kit Carson County and the northern portion of Lincoln County, the largest communities are near I-70. Elbert county’s major communities lay along Highway 24 and Highway 86. This hold true as well for Cheyenne county where their major communities are found along US-40.</w:t>
      </w:r>
    </w:p>
    <w:p w14:paraId="12980F9D" w14:textId="6EF5BAF8" w:rsidR="006E3721" w:rsidRDefault="00047BC2" w:rsidP="00232D1D">
      <w:pPr>
        <w:jc w:val="both"/>
        <w:rPr>
          <w:rFonts w:ascii="Times New Roman" w:hAnsi="Times New Roman" w:cs="Times New Roman"/>
          <w:sz w:val="24"/>
          <w:szCs w:val="24"/>
        </w:rPr>
      </w:pPr>
      <w:r>
        <w:rPr>
          <w:rFonts w:ascii="Times New Roman" w:hAnsi="Times New Roman" w:cs="Times New Roman"/>
          <w:sz w:val="24"/>
          <w:szCs w:val="24"/>
        </w:rPr>
        <w:t xml:space="preserve"> </w:t>
      </w:r>
      <w:r w:rsidR="00426ED9">
        <w:rPr>
          <w:rFonts w:ascii="Times New Roman" w:hAnsi="Times New Roman" w:cs="Times New Roman"/>
          <w:sz w:val="24"/>
          <w:szCs w:val="24"/>
        </w:rPr>
        <w:t>If the total population</w:t>
      </w:r>
      <w:r w:rsidR="006069E4">
        <w:rPr>
          <w:rFonts w:ascii="Times New Roman" w:hAnsi="Times New Roman" w:cs="Times New Roman"/>
          <w:sz w:val="24"/>
          <w:szCs w:val="24"/>
        </w:rPr>
        <w:t xml:space="preserve"> (40,664)</w:t>
      </w:r>
      <w:r w:rsidR="00426ED9">
        <w:rPr>
          <w:rFonts w:ascii="Times New Roman" w:hAnsi="Times New Roman" w:cs="Times New Roman"/>
          <w:sz w:val="24"/>
          <w:szCs w:val="24"/>
        </w:rPr>
        <w:t xml:space="preserve"> was even</w:t>
      </w:r>
      <w:r w:rsidR="00A8083B">
        <w:rPr>
          <w:rFonts w:ascii="Times New Roman" w:hAnsi="Times New Roman" w:cs="Times New Roman"/>
          <w:sz w:val="24"/>
          <w:szCs w:val="24"/>
        </w:rPr>
        <w:t>ly</w:t>
      </w:r>
      <w:r w:rsidR="00426ED9">
        <w:rPr>
          <w:rFonts w:ascii="Times New Roman" w:hAnsi="Times New Roman" w:cs="Times New Roman"/>
          <w:sz w:val="24"/>
          <w:szCs w:val="24"/>
        </w:rPr>
        <w:t xml:space="preserve"> spread across the region</w:t>
      </w:r>
      <w:r w:rsidR="006069E4">
        <w:rPr>
          <w:rFonts w:ascii="Times New Roman" w:hAnsi="Times New Roman" w:cs="Times New Roman"/>
          <w:sz w:val="24"/>
          <w:szCs w:val="24"/>
        </w:rPr>
        <w:t xml:space="preserve"> (8,377 mi</w:t>
      </w:r>
      <w:r w:rsidR="004768DD" w:rsidRPr="004768DD">
        <w:rPr>
          <w:rFonts w:ascii="Times New Roman" w:hAnsi="Times New Roman" w:cs="Times New Roman"/>
          <w:sz w:val="24"/>
          <w:szCs w:val="24"/>
          <w:vertAlign w:val="superscript"/>
        </w:rPr>
        <w:t>2</w:t>
      </w:r>
      <w:r w:rsidR="004768DD">
        <w:rPr>
          <w:rFonts w:ascii="Times New Roman" w:hAnsi="Times New Roman" w:cs="Times New Roman"/>
          <w:sz w:val="24"/>
          <w:szCs w:val="24"/>
        </w:rPr>
        <w:t>)</w:t>
      </w:r>
      <w:r w:rsidR="00426ED9">
        <w:rPr>
          <w:rFonts w:ascii="Times New Roman" w:hAnsi="Times New Roman" w:cs="Times New Roman"/>
          <w:sz w:val="24"/>
          <w:szCs w:val="24"/>
        </w:rPr>
        <w:t xml:space="preserve"> there would be </w:t>
      </w:r>
      <w:r w:rsidR="006439D1">
        <w:rPr>
          <w:rFonts w:ascii="Times New Roman" w:hAnsi="Times New Roman" w:cs="Times New Roman"/>
          <w:sz w:val="24"/>
          <w:szCs w:val="24"/>
        </w:rPr>
        <w:t xml:space="preserve">approximately 4.9 individuals per square mile. </w:t>
      </w:r>
      <w:r w:rsidR="008A48FD">
        <w:rPr>
          <w:rFonts w:ascii="Times New Roman" w:hAnsi="Times New Roman" w:cs="Times New Roman"/>
          <w:sz w:val="24"/>
          <w:szCs w:val="24"/>
        </w:rPr>
        <w:t xml:space="preserve">Let’s break that down by county </w:t>
      </w:r>
      <w:r w:rsidR="004204C1">
        <w:rPr>
          <w:rFonts w:ascii="Times New Roman" w:hAnsi="Times New Roman" w:cs="Times New Roman"/>
          <w:sz w:val="24"/>
          <w:szCs w:val="24"/>
        </w:rPr>
        <w:t xml:space="preserve">for a comparison </w:t>
      </w:r>
      <w:r w:rsidR="009156CA">
        <w:rPr>
          <w:rFonts w:ascii="Times New Roman" w:hAnsi="Times New Roman" w:cs="Times New Roman"/>
          <w:sz w:val="24"/>
          <w:szCs w:val="24"/>
        </w:rPr>
        <w:t>of</w:t>
      </w:r>
      <w:r w:rsidR="004204C1">
        <w:rPr>
          <w:rFonts w:ascii="Times New Roman" w:hAnsi="Times New Roman" w:cs="Times New Roman"/>
          <w:sz w:val="24"/>
          <w:szCs w:val="24"/>
        </w:rPr>
        <w:t xml:space="preserve"> the region </w:t>
      </w:r>
      <w:r w:rsidR="00A8083B">
        <w:rPr>
          <w:rFonts w:ascii="Times New Roman" w:hAnsi="Times New Roman" w:cs="Times New Roman"/>
          <w:sz w:val="24"/>
          <w:szCs w:val="24"/>
        </w:rPr>
        <w:t>to</w:t>
      </w:r>
      <w:r w:rsidR="004204C1">
        <w:rPr>
          <w:rFonts w:ascii="Times New Roman" w:hAnsi="Times New Roman" w:cs="Times New Roman"/>
          <w:sz w:val="24"/>
          <w:szCs w:val="24"/>
        </w:rPr>
        <w:t xml:space="preserve"> its parts.</w:t>
      </w:r>
    </w:p>
    <w:p w14:paraId="23FDB003" w14:textId="48761B67" w:rsidR="00EE7732" w:rsidRDefault="005777F1" w:rsidP="00EE7732">
      <w:pPr>
        <w:jc w:val="both"/>
        <w:rPr>
          <w:rFonts w:ascii="Times New Roman" w:hAnsi="Times New Roman" w:cs="Times New Roman"/>
          <w:sz w:val="24"/>
          <w:szCs w:val="24"/>
        </w:rPr>
      </w:pPr>
      <w:r>
        <w:rPr>
          <w:noProof/>
        </w:rPr>
        <w:drawing>
          <wp:anchor distT="0" distB="0" distL="114300" distR="114300" simplePos="0" relativeHeight="251658245" behindDoc="1" locked="0" layoutInCell="1" allowOverlap="1" wp14:anchorId="2C70C89A" wp14:editId="655766CD">
            <wp:simplePos x="0" y="0"/>
            <wp:positionH relativeFrom="column">
              <wp:posOffset>0</wp:posOffset>
            </wp:positionH>
            <wp:positionV relativeFrom="page">
              <wp:posOffset>4267200</wp:posOffset>
            </wp:positionV>
            <wp:extent cx="5943600" cy="5359400"/>
            <wp:effectExtent l="0" t="0" r="0" b="12700"/>
            <wp:wrapTopAndBottom/>
            <wp:docPr id="6" name="Chart 6">
              <a:extLst xmlns:a="http://schemas.openxmlformats.org/drawingml/2006/main">
                <a:ext uri="{FF2B5EF4-FFF2-40B4-BE49-F238E27FC236}">
                  <a16:creationId xmlns:a16="http://schemas.microsoft.com/office/drawing/2014/main" id="{C6CDF641-9C80-4F22-216B-CDB4B84074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145ED2" w:rsidRPr="00A6669C">
        <w:rPr>
          <w:rFonts w:ascii="Times New Roman" w:hAnsi="Times New Roman" w:cs="Times New Roman"/>
          <w:sz w:val="24"/>
          <w:szCs w:val="24"/>
        </w:rPr>
        <w:t xml:space="preserve">Elbert County </w:t>
      </w:r>
      <w:r w:rsidR="00C15809">
        <w:rPr>
          <w:rFonts w:ascii="Times New Roman" w:hAnsi="Times New Roman" w:cs="Times New Roman"/>
          <w:sz w:val="24"/>
          <w:szCs w:val="24"/>
        </w:rPr>
        <w:t>reports 14.2 pe</w:t>
      </w:r>
      <w:r w:rsidR="0083018D">
        <w:rPr>
          <w:rFonts w:ascii="Times New Roman" w:hAnsi="Times New Roman" w:cs="Times New Roman"/>
          <w:sz w:val="24"/>
          <w:szCs w:val="24"/>
        </w:rPr>
        <w:t xml:space="preserve">rsons per square mile, compared to previous </w:t>
      </w:r>
      <w:r w:rsidR="0083018D" w:rsidRPr="00A6669C">
        <w:rPr>
          <w:rFonts w:ascii="Times New Roman" w:hAnsi="Times New Roman" w:cs="Times New Roman"/>
          <w:sz w:val="24"/>
          <w:szCs w:val="24"/>
        </w:rPr>
        <w:t>12.5</w:t>
      </w:r>
      <w:r w:rsidR="00145ED2" w:rsidRPr="00A6669C">
        <w:rPr>
          <w:rFonts w:ascii="Times New Roman" w:hAnsi="Times New Roman" w:cs="Times New Roman"/>
          <w:sz w:val="24"/>
          <w:szCs w:val="24"/>
        </w:rPr>
        <w:t xml:space="preserve"> persons per square mile</w:t>
      </w:r>
      <w:r w:rsidR="0083018D">
        <w:rPr>
          <w:rFonts w:ascii="Times New Roman" w:hAnsi="Times New Roman" w:cs="Times New Roman"/>
          <w:sz w:val="24"/>
          <w:szCs w:val="24"/>
        </w:rPr>
        <w:t>. C</w:t>
      </w:r>
      <w:r w:rsidR="00145ED2" w:rsidRPr="00A6669C">
        <w:rPr>
          <w:rFonts w:ascii="Times New Roman" w:hAnsi="Times New Roman" w:cs="Times New Roman"/>
          <w:sz w:val="24"/>
          <w:szCs w:val="24"/>
        </w:rPr>
        <w:t xml:space="preserve">heyenne County reports </w:t>
      </w:r>
      <w:r w:rsidR="00F93770">
        <w:rPr>
          <w:rFonts w:ascii="Times New Roman" w:hAnsi="Times New Roman" w:cs="Times New Roman"/>
          <w:sz w:val="24"/>
          <w:szCs w:val="24"/>
        </w:rPr>
        <w:t xml:space="preserve">just under 1 person (0.98) </w:t>
      </w:r>
      <w:r w:rsidR="008C12D9">
        <w:rPr>
          <w:rFonts w:ascii="Times New Roman" w:hAnsi="Times New Roman" w:cs="Times New Roman"/>
          <w:sz w:val="24"/>
          <w:szCs w:val="24"/>
        </w:rPr>
        <w:t xml:space="preserve">per square mile compared to </w:t>
      </w:r>
      <w:r w:rsidR="00145ED2" w:rsidRPr="00A6669C">
        <w:rPr>
          <w:rFonts w:ascii="Times New Roman" w:hAnsi="Times New Roman" w:cs="Times New Roman"/>
          <w:sz w:val="24"/>
          <w:szCs w:val="24"/>
        </w:rPr>
        <w:t>1.0 person</w:t>
      </w:r>
      <w:r w:rsidR="008C12D9">
        <w:rPr>
          <w:rFonts w:ascii="Times New Roman" w:hAnsi="Times New Roman" w:cs="Times New Roman"/>
          <w:sz w:val="24"/>
          <w:szCs w:val="24"/>
        </w:rPr>
        <w:t xml:space="preserve"> per square mile in the past. </w:t>
      </w:r>
      <w:r w:rsidR="00145ED2" w:rsidRPr="00A6669C">
        <w:rPr>
          <w:rFonts w:ascii="Times New Roman" w:hAnsi="Times New Roman" w:cs="Times New Roman"/>
          <w:sz w:val="24"/>
          <w:szCs w:val="24"/>
        </w:rPr>
        <w:t xml:space="preserve">Kit Carson </w:t>
      </w:r>
      <w:r w:rsidR="00186D09" w:rsidRPr="00A6669C">
        <w:rPr>
          <w:rFonts w:ascii="Times New Roman" w:hAnsi="Times New Roman" w:cs="Times New Roman"/>
          <w:sz w:val="24"/>
          <w:szCs w:val="24"/>
        </w:rPr>
        <w:t xml:space="preserve">County </w:t>
      </w:r>
      <w:r w:rsidR="00186D09">
        <w:rPr>
          <w:rFonts w:ascii="Times New Roman" w:hAnsi="Times New Roman" w:cs="Times New Roman"/>
          <w:sz w:val="24"/>
          <w:szCs w:val="24"/>
        </w:rPr>
        <w:t>following</w:t>
      </w:r>
      <w:r w:rsidR="00FC21ED">
        <w:rPr>
          <w:rFonts w:ascii="Times New Roman" w:hAnsi="Times New Roman" w:cs="Times New Roman"/>
          <w:sz w:val="24"/>
          <w:szCs w:val="24"/>
        </w:rPr>
        <w:t xml:space="preserve"> a similar decline in population now reports 3.3 persons per square mile </w:t>
      </w:r>
      <w:r w:rsidR="008A48FD">
        <w:rPr>
          <w:rFonts w:ascii="Times New Roman" w:hAnsi="Times New Roman" w:cs="Times New Roman"/>
          <w:sz w:val="24"/>
          <w:szCs w:val="24"/>
        </w:rPr>
        <w:t>compared</w:t>
      </w:r>
      <w:r w:rsidR="00FC21ED">
        <w:rPr>
          <w:rFonts w:ascii="Times New Roman" w:hAnsi="Times New Roman" w:cs="Times New Roman"/>
          <w:sz w:val="24"/>
          <w:szCs w:val="24"/>
        </w:rPr>
        <w:t xml:space="preserve"> to </w:t>
      </w:r>
      <w:r w:rsidR="00145ED2" w:rsidRPr="00A6669C">
        <w:rPr>
          <w:rFonts w:ascii="Times New Roman" w:hAnsi="Times New Roman" w:cs="Times New Roman"/>
          <w:sz w:val="24"/>
          <w:szCs w:val="24"/>
        </w:rPr>
        <w:t>3.8</w:t>
      </w:r>
      <w:r w:rsidR="00FC21ED">
        <w:rPr>
          <w:rFonts w:ascii="Times New Roman" w:hAnsi="Times New Roman" w:cs="Times New Roman"/>
          <w:sz w:val="24"/>
          <w:szCs w:val="24"/>
        </w:rPr>
        <w:t>.</w:t>
      </w:r>
      <w:r w:rsidR="00145ED2" w:rsidRPr="00A6669C">
        <w:rPr>
          <w:rFonts w:ascii="Times New Roman" w:hAnsi="Times New Roman" w:cs="Times New Roman"/>
          <w:sz w:val="24"/>
          <w:szCs w:val="24"/>
        </w:rPr>
        <w:t xml:space="preserve"> Lincoln County </w:t>
      </w:r>
      <w:r w:rsidR="004F0496">
        <w:rPr>
          <w:rFonts w:ascii="Times New Roman" w:hAnsi="Times New Roman" w:cs="Times New Roman"/>
          <w:sz w:val="24"/>
          <w:szCs w:val="24"/>
        </w:rPr>
        <w:t>held steady reporting 2.2 people per square mile</w:t>
      </w:r>
      <w:r w:rsidR="005D34E2">
        <w:rPr>
          <w:rFonts w:ascii="Times New Roman" w:hAnsi="Times New Roman" w:cs="Times New Roman"/>
          <w:sz w:val="24"/>
          <w:szCs w:val="24"/>
        </w:rPr>
        <w:t xml:space="preserve"> versus </w:t>
      </w:r>
      <w:r w:rsidR="00145ED2" w:rsidRPr="00A6669C">
        <w:rPr>
          <w:rFonts w:ascii="Times New Roman" w:hAnsi="Times New Roman" w:cs="Times New Roman"/>
          <w:sz w:val="24"/>
          <w:szCs w:val="24"/>
        </w:rPr>
        <w:t xml:space="preserve">2.1 </w:t>
      </w:r>
      <w:r w:rsidR="005D34E2">
        <w:rPr>
          <w:rFonts w:ascii="Times New Roman" w:hAnsi="Times New Roman" w:cs="Times New Roman"/>
          <w:sz w:val="24"/>
          <w:szCs w:val="24"/>
        </w:rPr>
        <w:t>previously.</w:t>
      </w:r>
      <w:r w:rsidR="003D3594">
        <w:rPr>
          <w:rFonts w:ascii="Times New Roman" w:hAnsi="Times New Roman" w:cs="Times New Roman"/>
          <w:sz w:val="24"/>
          <w:szCs w:val="24"/>
        </w:rPr>
        <w:t xml:space="preserve"> </w:t>
      </w:r>
    </w:p>
    <w:p w14:paraId="0D16127E" w14:textId="0D41F3DC" w:rsidR="0047512C" w:rsidRDefault="005777F1" w:rsidP="00232D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C22AE">
        <w:rPr>
          <w:rFonts w:ascii="Times New Roman" w:hAnsi="Times New Roman" w:cs="Times New Roman"/>
          <w:sz w:val="24"/>
          <w:szCs w:val="24"/>
        </w:rPr>
        <w:t xml:space="preserve">previous </w:t>
      </w:r>
      <w:r>
        <w:rPr>
          <w:rFonts w:ascii="Times New Roman" w:hAnsi="Times New Roman" w:cs="Times New Roman"/>
          <w:sz w:val="24"/>
          <w:szCs w:val="24"/>
        </w:rPr>
        <w:t xml:space="preserve">chart shows the </w:t>
      </w:r>
      <w:r w:rsidR="004C6DF3">
        <w:rPr>
          <w:rFonts w:ascii="Times New Roman" w:hAnsi="Times New Roman" w:cs="Times New Roman"/>
          <w:sz w:val="24"/>
          <w:szCs w:val="24"/>
        </w:rPr>
        <w:t>breakdown at a county level</w:t>
      </w:r>
      <w:r w:rsidR="005C22AE">
        <w:rPr>
          <w:rFonts w:ascii="Times New Roman" w:hAnsi="Times New Roman" w:cs="Times New Roman"/>
          <w:sz w:val="24"/>
          <w:szCs w:val="24"/>
        </w:rPr>
        <w:t>,</w:t>
      </w:r>
      <w:r w:rsidR="004C6DF3">
        <w:rPr>
          <w:rFonts w:ascii="Times New Roman" w:hAnsi="Times New Roman" w:cs="Times New Roman"/>
          <w:sz w:val="24"/>
          <w:szCs w:val="24"/>
        </w:rPr>
        <w:t xml:space="preserve"> various </w:t>
      </w:r>
      <w:r w:rsidR="00B27907">
        <w:rPr>
          <w:rFonts w:ascii="Times New Roman" w:hAnsi="Times New Roman" w:cs="Times New Roman"/>
          <w:sz w:val="24"/>
          <w:szCs w:val="24"/>
        </w:rPr>
        <w:t>ethnicities,</w:t>
      </w:r>
      <w:r w:rsidR="004C6DF3">
        <w:rPr>
          <w:rFonts w:ascii="Times New Roman" w:hAnsi="Times New Roman" w:cs="Times New Roman"/>
          <w:sz w:val="24"/>
          <w:szCs w:val="24"/>
        </w:rPr>
        <w:t xml:space="preserve"> and races</w:t>
      </w:r>
      <w:r w:rsidR="004F2FC9">
        <w:rPr>
          <w:rFonts w:ascii="Times New Roman" w:hAnsi="Times New Roman" w:cs="Times New Roman"/>
          <w:sz w:val="24"/>
          <w:szCs w:val="24"/>
        </w:rPr>
        <w:t>.</w:t>
      </w:r>
      <w:r w:rsidR="00EA08EC">
        <w:rPr>
          <w:rFonts w:ascii="Times New Roman" w:hAnsi="Times New Roman" w:cs="Times New Roman"/>
          <w:sz w:val="24"/>
          <w:szCs w:val="24"/>
        </w:rPr>
        <w:t xml:space="preserve"> </w:t>
      </w:r>
      <w:r w:rsidR="004F2FC9">
        <w:rPr>
          <w:rFonts w:ascii="Times New Roman" w:hAnsi="Times New Roman" w:cs="Times New Roman"/>
          <w:sz w:val="24"/>
          <w:szCs w:val="24"/>
        </w:rPr>
        <w:t>P</w:t>
      </w:r>
      <w:r w:rsidR="00EA08EC">
        <w:rPr>
          <w:rFonts w:ascii="Times New Roman" w:hAnsi="Times New Roman" w:cs="Times New Roman"/>
          <w:sz w:val="24"/>
          <w:szCs w:val="24"/>
        </w:rPr>
        <w:t xml:space="preserve">lease note that Lincoln County is </w:t>
      </w:r>
      <w:r w:rsidR="00F404A6">
        <w:rPr>
          <w:rFonts w:ascii="Times New Roman" w:hAnsi="Times New Roman" w:cs="Times New Roman"/>
          <w:sz w:val="24"/>
          <w:szCs w:val="24"/>
        </w:rPr>
        <w:t>home</w:t>
      </w:r>
      <w:r w:rsidR="00EA08EC">
        <w:rPr>
          <w:rFonts w:ascii="Times New Roman" w:hAnsi="Times New Roman" w:cs="Times New Roman"/>
          <w:sz w:val="24"/>
          <w:szCs w:val="24"/>
        </w:rPr>
        <w:t xml:space="preserve"> to a</w:t>
      </w:r>
      <w:r w:rsidR="00F404A6">
        <w:rPr>
          <w:rFonts w:ascii="Times New Roman" w:hAnsi="Times New Roman" w:cs="Times New Roman"/>
          <w:sz w:val="24"/>
          <w:szCs w:val="24"/>
        </w:rPr>
        <w:t xml:space="preserve"> correctional facility </w:t>
      </w:r>
      <w:r w:rsidR="004F2FC9">
        <w:rPr>
          <w:rFonts w:ascii="Times New Roman" w:hAnsi="Times New Roman" w:cs="Times New Roman"/>
          <w:sz w:val="24"/>
          <w:szCs w:val="24"/>
        </w:rPr>
        <w:t>(</w:t>
      </w:r>
      <w:r w:rsidR="00EA08EC">
        <w:rPr>
          <w:rFonts w:ascii="Times New Roman" w:hAnsi="Times New Roman" w:cs="Times New Roman"/>
          <w:sz w:val="24"/>
          <w:szCs w:val="24"/>
        </w:rPr>
        <w:t>group</w:t>
      </w:r>
      <w:r w:rsidR="00D10ADE">
        <w:rPr>
          <w:rFonts w:ascii="Times New Roman" w:hAnsi="Times New Roman" w:cs="Times New Roman"/>
          <w:sz w:val="24"/>
          <w:szCs w:val="24"/>
        </w:rPr>
        <w:t xml:space="preserve"> quarters</w:t>
      </w:r>
      <w:r w:rsidR="004F2FC9">
        <w:rPr>
          <w:rFonts w:ascii="Times New Roman" w:hAnsi="Times New Roman" w:cs="Times New Roman"/>
          <w:sz w:val="24"/>
          <w:szCs w:val="24"/>
        </w:rPr>
        <w:t>)</w:t>
      </w:r>
      <w:r w:rsidR="00D71A94">
        <w:rPr>
          <w:rFonts w:ascii="Times New Roman" w:hAnsi="Times New Roman" w:cs="Times New Roman"/>
          <w:sz w:val="24"/>
          <w:szCs w:val="24"/>
        </w:rPr>
        <w:t>,</w:t>
      </w:r>
      <w:r w:rsidR="004F2FC9">
        <w:rPr>
          <w:rFonts w:ascii="Times New Roman" w:hAnsi="Times New Roman" w:cs="Times New Roman"/>
          <w:sz w:val="24"/>
          <w:szCs w:val="24"/>
        </w:rPr>
        <w:t xml:space="preserve"> which </w:t>
      </w:r>
      <w:r w:rsidR="003F0923">
        <w:rPr>
          <w:rFonts w:ascii="Times New Roman" w:hAnsi="Times New Roman" w:cs="Times New Roman"/>
          <w:sz w:val="24"/>
          <w:szCs w:val="24"/>
        </w:rPr>
        <w:t xml:space="preserve">influences the percentage of </w:t>
      </w:r>
      <w:r w:rsidR="00B27907">
        <w:rPr>
          <w:rFonts w:ascii="Times New Roman" w:hAnsi="Times New Roman" w:cs="Times New Roman"/>
          <w:sz w:val="24"/>
          <w:szCs w:val="24"/>
        </w:rPr>
        <w:t>‘</w:t>
      </w:r>
      <w:r w:rsidR="005F3237">
        <w:rPr>
          <w:rFonts w:ascii="Times New Roman" w:hAnsi="Times New Roman" w:cs="Times New Roman"/>
          <w:sz w:val="24"/>
          <w:szCs w:val="24"/>
        </w:rPr>
        <w:t>People of Color</w:t>
      </w:r>
      <w:r w:rsidR="00B27907">
        <w:rPr>
          <w:rFonts w:ascii="Times New Roman" w:hAnsi="Times New Roman" w:cs="Times New Roman"/>
          <w:sz w:val="24"/>
          <w:szCs w:val="24"/>
        </w:rPr>
        <w:t>’</w:t>
      </w:r>
      <w:r w:rsidR="004F2FC9">
        <w:rPr>
          <w:rFonts w:ascii="Times New Roman" w:hAnsi="Times New Roman" w:cs="Times New Roman"/>
          <w:sz w:val="24"/>
          <w:szCs w:val="24"/>
        </w:rPr>
        <w:t>.</w:t>
      </w:r>
      <w:r w:rsidR="005F3237">
        <w:rPr>
          <w:rFonts w:ascii="Times New Roman" w:hAnsi="Times New Roman" w:cs="Times New Roman"/>
          <w:sz w:val="24"/>
          <w:szCs w:val="24"/>
        </w:rPr>
        <w:t xml:space="preserve"> </w:t>
      </w:r>
    </w:p>
    <w:p w14:paraId="6787A64D" w14:textId="6AE86ABA" w:rsidR="00893CFE" w:rsidRDefault="00DB61E2"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By considering the various races in our older population, </w:t>
      </w:r>
      <w:r w:rsidR="0012398B">
        <w:rPr>
          <w:rFonts w:ascii="Times New Roman" w:hAnsi="Times New Roman" w:cs="Times New Roman"/>
          <w:sz w:val="24"/>
          <w:szCs w:val="24"/>
        </w:rPr>
        <w:t>the East Central AAA</w:t>
      </w:r>
      <w:r w:rsidRPr="00A6669C">
        <w:rPr>
          <w:rFonts w:ascii="Times New Roman" w:hAnsi="Times New Roman" w:cs="Times New Roman"/>
          <w:sz w:val="24"/>
          <w:szCs w:val="24"/>
        </w:rPr>
        <w:t xml:space="preserve"> </w:t>
      </w:r>
      <w:r w:rsidR="00284D9B">
        <w:rPr>
          <w:rFonts w:ascii="Times New Roman" w:hAnsi="Times New Roman" w:cs="Times New Roman"/>
          <w:sz w:val="24"/>
          <w:szCs w:val="24"/>
        </w:rPr>
        <w:t>is adapting</w:t>
      </w:r>
      <w:r w:rsidR="0012398B">
        <w:rPr>
          <w:rFonts w:ascii="Times New Roman" w:hAnsi="Times New Roman" w:cs="Times New Roman"/>
          <w:sz w:val="24"/>
          <w:szCs w:val="24"/>
        </w:rPr>
        <w:t xml:space="preserve"> their</w:t>
      </w:r>
      <w:r w:rsidRPr="00A6669C">
        <w:rPr>
          <w:rFonts w:ascii="Times New Roman" w:hAnsi="Times New Roman" w:cs="Times New Roman"/>
          <w:sz w:val="24"/>
          <w:szCs w:val="24"/>
        </w:rPr>
        <w:t xml:space="preserve"> services </w:t>
      </w:r>
      <w:r w:rsidR="0012398B">
        <w:rPr>
          <w:rFonts w:ascii="Times New Roman" w:hAnsi="Times New Roman" w:cs="Times New Roman"/>
          <w:sz w:val="24"/>
          <w:szCs w:val="24"/>
        </w:rPr>
        <w:t xml:space="preserve">to better meet </w:t>
      </w:r>
      <w:r w:rsidR="00BF5FDB">
        <w:rPr>
          <w:rFonts w:ascii="Times New Roman" w:hAnsi="Times New Roman" w:cs="Times New Roman"/>
          <w:sz w:val="24"/>
          <w:szCs w:val="24"/>
        </w:rPr>
        <w:t>the needs of diverse race and ethnic</w:t>
      </w:r>
      <w:r w:rsidRPr="00232D1D">
        <w:rPr>
          <w:rFonts w:ascii="Times New Roman" w:hAnsi="Times New Roman" w:cs="Times New Roman"/>
          <w:sz w:val="24"/>
          <w:szCs w:val="24"/>
        </w:rPr>
        <w:t xml:space="preserve"> backgrounds</w:t>
      </w:r>
      <w:r w:rsidR="00BF5FDB">
        <w:rPr>
          <w:rFonts w:ascii="Times New Roman" w:hAnsi="Times New Roman" w:cs="Times New Roman"/>
          <w:sz w:val="24"/>
          <w:szCs w:val="24"/>
        </w:rPr>
        <w:t xml:space="preserve"> and traditions</w:t>
      </w:r>
      <w:r w:rsidR="00284D9B">
        <w:rPr>
          <w:rFonts w:ascii="Times New Roman" w:hAnsi="Times New Roman" w:cs="Times New Roman"/>
          <w:sz w:val="24"/>
          <w:szCs w:val="24"/>
        </w:rPr>
        <w:t>.</w:t>
      </w:r>
      <w:r w:rsidRPr="00232D1D">
        <w:rPr>
          <w:rFonts w:ascii="Times New Roman" w:hAnsi="Times New Roman" w:cs="Times New Roman"/>
          <w:sz w:val="24"/>
          <w:szCs w:val="24"/>
        </w:rPr>
        <w:t xml:space="preserve"> While our population is </w:t>
      </w:r>
      <w:r w:rsidR="00284D9B">
        <w:rPr>
          <w:rFonts w:ascii="Times New Roman" w:hAnsi="Times New Roman" w:cs="Times New Roman"/>
          <w:sz w:val="24"/>
          <w:szCs w:val="24"/>
        </w:rPr>
        <w:t>comprised</w:t>
      </w:r>
      <w:r w:rsidRPr="00A6669C">
        <w:rPr>
          <w:rFonts w:ascii="Times New Roman" w:hAnsi="Times New Roman" w:cs="Times New Roman"/>
          <w:sz w:val="24"/>
          <w:szCs w:val="24"/>
        </w:rPr>
        <w:t xml:space="preserve"> </w:t>
      </w:r>
      <w:r w:rsidR="0012398B">
        <w:rPr>
          <w:rFonts w:ascii="Times New Roman" w:hAnsi="Times New Roman" w:cs="Times New Roman"/>
          <w:sz w:val="24"/>
          <w:szCs w:val="24"/>
        </w:rPr>
        <w:t>of</w:t>
      </w:r>
      <w:r w:rsidRPr="00232D1D">
        <w:rPr>
          <w:rFonts w:ascii="Times New Roman" w:hAnsi="Times New Roman" w:cs="Times New Roman"/>
          <w:sz w:val="24"/>
          <w:szCs w:val="24"/>
        </w:rPr>
        <w:t xml:space="preserve"> predominantly white non-Hispanic residents, </w:t>
      </w:r>
      <w:r w:rsidR="00F05CF4">
        <w:rPr>
          <w:rFonts w:ascii="Times New Roman" w:hAnsi="Times New Roman" w:cs="Times New Roman"/>
          <w:sz w:val="24"/>
          <w:szCs w:val="24"/>
        </w:rPr>
        <w:t xml:space="preserve">the AAA </w:t>
      </w:r>
      <w:r w:rsidR="00B50C69">
        <w:rPr>
          <w:rFonts w:ascii="Times New Roman" w:hAnsi="Times New Roman" w:cs="Times New Roman"/>
          <w:sz w:val="24"/>
          <w:szCs w:val="24"/>
        </w:rPr>
        <w:t xml:space="preserve">strives to better its </w:t>
      </w:r>
      <w:r w:rsidRPr="00232D1D">
        <w:rPr>
          <w:rFonts w:ascii="Times New Roman" w:hAnsi="Times New Roman" w:cs="Times New Roman"/>
          <w:sz w:val="24"/>
          <w:szCs w:val="24"/>
        </w:rPr>
        <w:t xml:space="preserve">understanding the needs </w:t>
      </w:r>
      <w:r w:rsidR="00B50C69">
        <w:rPr>
          <w:rFonts w:ascii="Times New Roman" w:hAnsi="Times New Roman" w:cs="Times New Roman"/>
          <w:sz w:val="24"/>
          <w:szCs w:val="24"/>
        </w:rPr>
        <w:t xml:space="preserve">of these </w:t>
      </w:r>
      <w:r w:rsidR="00FC43DD">
        <w:rPr>
          <w:rFonts w:ascii="Times New Roman" w:hAnsi="Times New Roman" w:cs="Times New Roman"/>
          <w:sz w:val="24"/>
          <w:szCs w:val="24"/>
        </w:rPr>
        <w:t xml:space="preserve">other individuals. </w:t>
      </w:r>
      <w:r w:rsidR="008E50D4">
        <w:rPr>
          <w:rFonts w:ascii="Times New Roman" w:hAnsi="Times New Roman" w:cs="Times New Roman"/>
          <w:sz w:val="24"/>
          <w:szCs w:val="24"/>
        </w:rPr>
        <w:t xml:space="preserve">Through more inclusive </w:t>
      </w:r>
      <w:r w:rsidRPr="00232D1D">
        <w:rPr>
          <w:rFonts w:ascii="Times New Roman" w:hAnsi="Times New Roman" w:cs="Times New Roman"/>
          <w:sz w:val="24"/>
          <w:szCs w:val="24"/>
        </w:rPr>
        <w:t xml:space="preserve">and </w:t>
      </w:r>
      <w:r w:rsidR="008E50D4">
        <w:rPr>
          <w:rFonts w:ascii="Times New Roman" w:hAnsi="Times New Roman" w:cs="Times New Roman"/>
          <w:sz w:val="24"/>
          <w:szCs w:val="24"/>
        </w:rPr>
        <w:t>diverse service offerings ECCOG</w:t>
      </w:r>
      <w:r w:rsidRPr="00232D1D">
        <w:rPr>
          <w:rFonts w:ascii="Times New Roman" w:hAnsi="Times New Roman" w:cs="Times New Roman"/>
          <w:sz w:val="24"/>
          <w:szCs w:val="24"/>
        </w:rPr>
        <w:t xml:space="preserve"> will </w:t>
      </w:r>
      <w:r w:rsidR="00893CFE">
        <w:rPr>
          <w:rFonts w:ascii="Times New Roman" w:hAnsi="Times New Roman" w:cs="Times New Roman"/>
          <w:sz w:val="24"/>
          <w:szCs w:val="24"/>
        </w:rPr>
        <w:t>improve the livelihood of all its regional residents</w:t>
      </w:r>
      <w:r w:rsidR="00BF5FDB">
        <w:rPr>
          <w:rFonts w:ascii="Times New Roman" w:hAnsi="Times New Roman" w:cs="Times New Roman"/>
          <w:sz w:val="24"/>
          <w:szCs w:val="24"/>
        </w:rPr>
        <w:t>, while maintaining respect for those of d</w:t>
      </w:r>
      <w:r w:rsidR="00EC464C">
        <w:rPr>
          <w:rFonts w:ascii="Times New Roman" w:hAnsi="Times New Roman" w:cs="Times New Roman"/>
          <w:sz w:val="24"/>
          <w:szCs w:val="24"/>
        </w:rPr>
        <w:t>iverse ethnic</w:t>
      </w:r>
      <w:r w:rsidRPr="00232D1D">
        <w:rPr>
          <w:rFonts w:ascii="Times New Roman" w:hAnsi="Times New Roman" w:cs="Times New Roman"/>
          <w:sz w:val="24"/>
          <w:szCs w:val="24"/>
        </w:rPr>
        <w:t xml:space="preserve"> and </w:t>
      </w:r>
      <w:r w:rsidR="00EC464C">
        <w:rPr>
          <w:rFonts w:ascii="Times New Roman" w:hAnsi="Times New Roman" w:cs="Times New Roman"/>
          <w:sz w:val="24"/>
          <w:szCs w:val="24"/>
        </w:rPr>
        <w:t>racial backgrounds</w:t>
      </w:r>
      <w:r w:rsidR="00893CFE">
        <w:rPr>
          <w:rFonts w:ascii="Times New Roman" w:hAnsi="Times New Roman" w:cs="Times New Roman"/>
          <w:sz w:val="24"/>
          <w:szCs w:val="24"/>
        </w:rPr>
        <w:t>.</w:t>
      </w:r>
    </w:p>
    <w:p w14:paraId="1D99E2C9" w14:textId="6DC515C2" w:rsidR="00C9524D" w:rsidRPr="00232D1D" w:rsidRDefault="00EC464C" w:rsidP="00232D1D">
      <w:pPr>
        <w:jc w:val="both"/>
        <w:rPr>
          <w:rFonts w:ascii="Times New Roman" w:hAnsi="Times New Roman" w:cs="Times New Roman"/>
          <w:sz w:val="24"/>
          <w:szCs w:val="24"/>
        </w:rPr>
      </w:pPr>
      <w:r>
        <w:rPr>
          <w:noProof/>
        </w:rPr>
        <w:drawing>
          <wp:anchor distT="0" distB="0" distL="114300" distR="114300" simplePos="0" relativeHeight="251658246" behindDoc="0" locked="0" layoutInCell="1" allowOverlap="1" wp14:anchorId="6FEEE0BE" wp14:editId="36A1530B">
            <wp:simplePos x="0" y="0"/>
            <wp:positionH relativeFrom="column">
              <wp:posOffset>0</wp:posOffset>
            </wp:positionH>
            <wp:positionV relativeFrom="paragraph">
              <wp:posOffset>974725</wp:posOffset>
            </wp:positionV>
            <wp:extent cx="5943600" cy="3232150"/>
            <wp:effectExtent l="0" t="0" r="0" b="6350"/>
            <wp:wrapTopAndBottom/>
            <wp:docPr id="7" name="Chart 7">
              <a:extLst xmlns:a="http://schemas.openxmlformats.org/drawingml/2006/main">
                <a:ext uri="{FF2B5EF4-FFF2-40B4-BE49-F238E27FC236}">
                  <a16:creationId xmlns:a16="http://schemas.microsoft.com/office/drawing/2014/main" id="{4DBD62AC-0CC3-A5A3-AE50-E8CF443B1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A61ADE">
        <w:rPr>
          <w:rFonts w:ascii="Times New Roman" w:hAnsi="Times New Roman" w:cs="Times New Roman"/>
          <w:sz w:val="24"/>
          <w:szCs w:val="24"/>
        </w:rPr>
        <w:t xml:space="preserve">For </w:t>
      </w:r>
      <w:r w:rsidR="00893CFE">
        <w:rPr>
          <w:rFonts w:ascii="Times New Roman" w:hAnsi="Times New Roman" w:cs="Times New Roman"/>
          <w:sz w:val="24"/>
          <w:szCs w:val="24"/>
        </w:rPr>
        <w:t>example,</w:t>
      </w:r>
      <w:r w:rsidR="00A61ADE">
        <w:rPr>
          <w:rFonts w:ascii="Times New Roman" w:hAnsi="Times New Roman" w:cs="Times New Roman"/>
          <w:sz w:val="24"/>
          <w:szCs w:val="24"/>
        </w:rPr>
        <w:t xml:space="preserve"> within the </w:t>
      </w:r>
      <w:r w:rsidR="00DB61E2" w:rsidRPr="00232D1D">
        <w:rPr>
          <w:rFonts w:ascii="Times New Roman" w:hAnsi="Times New Roman" w:cs="Times New Roman"/>
          <w:sz w:val="24"/>
          <w:szCs w:val="24"/>
        </w:rPr>
        <w:t>Hispanic culture</w:t>
      </w:r>
      <w:r w:rsidR="00A61ADE">
        <w:rPr>
          <w:rFonts w:ascii="Times New Roman" w:hAnsi="Times New Roman" w:cs="Times New Roman"/>
          <w:sz w:val="24"/>
          <w:szCs w:val="24"/>
        </w:rPr>
        <w:t>,</w:t>
      </w:r>
      <w:r w:rsidR="00DB61E2" w:rsidRPr="00232D1D">
        <w:rPr>
          <w:rFonts w:ascii="Times New Roman" w:hAnsi="Times New Roman" w:cs="Times New Roman"/>
          <w:sz w:val="24"/>
          <w:szCs w:val="24"/>
        </w:rPr>
        <w:t xml:space="preserve"> one may see multiple generations living in one home</w:t>
      </w:r>
      <w:r w:rsidR="00DB61E2" w:rsidRPr="00A6669C">
        <w:rPr>
          <w:rFonts w:ascii="Times New Roman" w:hAnsi="Times New Roman" w:cs="Times New Roman"/>
          <w:sz w:val="24"/>
          <w:szCs w:val="24"/>
        </w:rPr>
        <w:t xml:space="preserve">. </w:t>
      </w:r>
      <w:r w:rsidR="00A61ADE">
        <w:rPr>
          <w:rFonts w:ascii="Times New Roman" w:hAnsi="Times New Roman" w:cs="Times New Roman"/>
          <w:sz w:val="24"/>
          <w:szCs w:val="24"/>
        </w:rPr>
        <w:t xml:space="preserve">This </w:t>
      </w:r>
      <w:r w:rsidR="004202B2">
        <w:rPr>
          <w:rFonts w:ascii="Times New Roman" w:hAnsi="Times New Roman" w:cs="Times New Roman"/>
          <w:sz w:val="24"/>
          <w:szCs w:val="24"/>
        </w:rPr>
        <w:t xml:space="preserve">would mean the AAA or other community partners may need to adapt services to better fit </w:t>
      </w:r>
      <w:r w:rsidR="003276FA">
        <w:rPr>
          <w:rFonts w:ascii="Times New Roman" w:hAnsi="Times New Roman" w:cs="Times New Roman"/>
          <w:sz w:val="24"/>
          <w:szCs w:val="24"/>
        </w:rPr>
        <w:t xml:space="preserve">the </w:t>
      </w:r>
      <w:r w:rsidR="004202B2">
        <w:rPr>
          <w:rFonts w:ascii="Times New Roman" w:hAnsi="Times New Roman" w:cs="Times New Roman"/>
          <w:sz w:val="24"/>
          <w:szCs w:val="24"/>
        </w:rPr>
        <w:t xml:space="preserve">needs of multigenerational </w:t>
      </w:r>
      <w:r w:rsidR="003276FA">
        <w:rPr>
          <w:rFonts w:ascii="Times New Roman" w:hAnsi="Times New Roman" w:cs="Times New Roman"/>
          <w:sz w:val="24"/>
          <w:szCs w:val="24"/>
        </w:rPr>
        <w:t xml:space="preserve">household dynamics, </w:t>
      </w:r>
      <w:r w:rsidR="00583CB6">
        <w:rPr>
          <w:rFonts w:ascii="Times New Roman" w:hAnsi="Times New Roman" w:cs="Times New Roman"/>
          <w:sz w:val="24"/>
          <w:szCs w:val="24"/>
        </w:rPr>
        <w:t xml:space="preserve">compared to traditional white homes comprised of one generation. </w:t>
      </w:r>
    </w:p>
    <w:p w14:paraId="4A0D78D0" w14:textId="04EC0694" w:rsidR="00762FB8" w:rsidRDefault="00762FB8" w:rsidP="00232D1D">
      <w:pPr>
        <w:jc w:val="both"/>
        <w:rPr>
          <w:rFonts w:ascii="Times New Roman" w:hAnsi="Times New Roman" w:cs="Times New Roman"/>
          <w:sz w:val="24"/>
          <w:szCs w:val="24"/>
        </w:rPr>
      </w:pPr>
    </w:p>
    <w:p w14:paraId="11DBE3B7" w14:textId="711E9AB0" w:rsidR="00EC464C" w:rsidRDefault="00D86FBF" w:rsidP="00232D1D">
      <w:pPr>
        <w:jc w:val="both"/>
        <w:rPr>
          <w:rFonts w:ascii="Times New Roman" w:hAnsi="Times New Roman" w:cs="Times New Roman"/>
          <w:sz w:val="24"/>
          <w:szCs w:val="24"/>
        </w:rPr>
      </w:pPr>
      <w:r w:rsidRPr="00A6669C">
        <w:rPr>
          <w:rFonts w:ascii="Times New Roman" w:hAnsi="Times New Roman" w:cs="Times New Roman"/>
          <w:sz w:val="24"/>
          <w:szCs w:val="24"/>
        </w:rPr>
        <w:t xml:space="preserve">The chart above </w:t>
      </w:r>
      <w:r w:rsidR="00D63CF0">
        <w:rPr>
          <w:rFonts w:ascii="Times New Roman" w:hAnsi="Times New Roman" w:cs="Times New Roman"/>
          <w:sz w:val="24"/>
          <w:szCs w:val="24"/>
        </w:rPr>
        <w:t>compares the counties</w:t>
      </w:r>
      <w:r w:rsidR="00C3150E">
        <w:rPr>
          <w:rFonts w:ascii="Times New Roman" w:hAnsi="Times New Roman" w:cs="Times New Roman"/>
          <w:sz w:val="24"/>
          <w:szCs w:val="24"/>
        </w:rPr>
        <w:t xml:space="preserve"> in four levels of poverty. </w:t>
      </w:r>
      <w:r w:rsidRPr="00A6669C">
        <w:rPr>
          <w:rFonts w:ascii="Times New Roman" w:hAnsi="Times New Roman" w:cs="Times New Roman"/>
          <w:sz w:val="24"/>
          <w:szCs w:val="24"/>
        </w:rPr>
        <w:t xml:space="preserve"> The county with the </w:t>
      </w:r>
      <w:r w:rsidR="00C3150E">
        <w:rPr>
          <w:rFonts w:ascii="Times New Roman" w:hAnsi="Times New Roman" w:cs="Times New Roman"/>
          <w:sz w:val="24"/>
          <w:szCs w:val="24"/>
        </w:rPr>
        <w:t xml:space="preserve">least amount </w:t>
      </w:r>
      <w:r w:rsidRPr="00A6669C">
        <w:rPr>
          <w:rFonts w:ascii="Times New Roman" w:hAnsi="Times New Roman" w:cs="Times New Roman"/>
          <w:sz w:val="24"/>
          <w:szCs w:val="24"/>
        </w:rPr>
        <w:t>of people living in poverty is Elbert County</w:t>
      </w:r>
      <w:r w:rsidR="007A12B9">
        <w:rPr>
          <w:rFonts w:ascii="Times New Roman" w:hAnsi="Times New Roman" w:cs="Times New Roman"/>
          <w:sz w:val="24"/>
          <w:szCs w:val="24"/>
        </w:rPr>
        <w:t>,</w:t>
      </w:r>
      <w:r w:rsidRPr="00A6669C">
        <w:rPr>
          <w:rFonts w:ascii="Times New Roman" w:hAnsi="Times New Roman" w:cs="Times New Roman"/>
          <w:sz w:val="24"/>
          <w:szCs w:val="24"/>
        </w:rPr>
        <w:t xml:space="preserve"> </w:t>
      </w:r>
      <w:r w:rsidR="007A12B9">
        <w:rPr>
          <w:rFonts w:ascii="Times New Roman" w:hAnsi="Times New Roman" w:cs="Times New Roman"/>
          <w:sz w:val="24"/>
          <w:szCs w:val="24"/>
        </w:rPr>
        <w:t>while</w:t>
      </w:r>
      <w:r w:rsidR="005C5B25">
        <w:rPr>
          <w:rFonts w:ascii="Times New Roman" w:hAnsi="Times New Roman" w:cs="Times New Roman"/>
          <w:sz w:val="24"/>
          <w:szCs w:val="24"/>
        </w:rPr>
        <w:t xml:space="preserve"> the county with the most</w:t>
      </w:r>
      <w:r w:rsidR="007A12B9">
        <w:rPr>
          <w:rFonts w:ascii="Times New Roman" w:hAnsi="Times New Roman" w:cs="Times New Roman"/>
          <w:sz w:val="24"/>
          <w:szCs w:val="24"/>
        </w:rPr>
        <w:t xml:space="preserve"> people living in poverty is Lincoln County. </w:t>
      </w:r>
      <w:r w:rsidR="00D375CA">
        <w:rPr>
          <w:rFonts w:ascii="Times New Roman" w:hAnsi="Times New Roman" w:cs="Times New Roman"/>
          <w:sz w:val="24"/>
          <w:szCs w:val="24"/>
        </w:rPr>
        <w:t xml:space="preserve">This will assist the East Central AAA in </w:t>
      </w:r>
      <w:r w:rsidR="0005617C">
        <w:rPr>
          <w:rFonts w:ascii="Times New Roman" w:hAnsi="Times New Roman" w:cs="Times New Roman"/>
          <w:sz w:val="24"/>
          <w:szCs w:val="24"/>
        </w:rPr>
        <w:t>prioritizing financial assistance to those in the greatest socioeconomic needs.</w:t>
      </w:r>
    </w:p>
    <w:p w14:paraId="6F2B1D59" w14:textId="7BA55C89" w:rsidR="00232D1D" w:rsidRPr="00232D1D" w:rsidRDefault="00232D1D" w:rsidP="00232D1D">
      <w:pPr>
        <w:jc w:val="both"/>
        <w:rPr>
          <w:rFonts w:ascii="Times New Roman" w:hAnsi="Times New Roman" w:cs="Times New Roman"/>
          <w:sz w:val="24"/>
          <w:szCs w:val="24"/>
        </w:rPr>
      </w:pPr>
      <w:r w:rsidRPr="00232D1D">
        <w:rPr>
          <w:rFonts w:ascii="Times New Roman" w:hAnsi="Times New Roman" w:cs="Times New Roman"/>
          <w:sz w:val="24"/>
          <w:szCs w:val="24"/>
        </w:rPr>
        <w:t xml:space="preserve">Chart Sources: </w:t>
      </w:r>
      <w:r w:rsidRPr="00232D1D">
        <w:rPr>
          <w:rFonts w:ascii="Times New Roman" w:hAnsi="Times New Roman" w:cs="Times New Roman"/>
          <w:sz w:val="24"/>
          <w:szCs w:val="24"/>
          <w:u w:val="thick"/>
        </w:rPr>
        <w:t>https://demography.dola.colorado.gov/</w:t>
      </w:r>
      <w:r w:rsidR="00621EDB" w:rsidRPr="00621EDB">
        <w:rPr>
          <w:rFonts w:ascii="Times New Roman" w:hAnsi="Times New Roman" w:cs="Times New Roman"/>
          <w:sz w:val="24"/>
          <w:szCs w:val="24"/>
          <w:u w:val="thick"/>
        </w:rPr>
        <w:t>assets/html/coareaaging.html</w:t>
      </w:r>
    </w:p>
    <w:p w14:paraId="2FC5D875" w14:textId="18714234" w:rsidR="00C13DAD" w:rsidRDefault="00232D1D">
      <w:r>
        <w:br w:type="page"/>
      </w:r>
    </w:p>
    <w:p w14:paraId="06B8585D" w14:textId="5E16EF57" w:rsidR="00C9524D" w:rsidRPr="00A6669C" w:rsidRDefault="00C13DAD" w:rsidP="00C13DAD">
      <w:pPr>
        <w:pStyle w:val="Heading1"/>
        <w:rPr>
          <w:rFonts w:ascii="Times New Roman" w:hAnsi="Times New Roman" w:cs="Times New Roman"/>
        </w:rPr>
      </w:pPr>
      <w:bookmarkStart w:id="5" w:name="_Toc130291147"/>
      <w:r w:rsidRPr="00A6669C">
        <w:rPr>
          <w:rFonts w:ascii="Times New Roman" w:hAnsi="Times New Roman" w:cs="Times New Roman"/>
        </w:rPr>
        <w:lastRenderedPageBreak/>
        <w:t>Section IV: Community Assessment Survey of Older Adults (CASOA</w:t>
      </w:r>
      <w:r w:rsidR="00743159" w:rsidRPr="00A6669C">
        <w:rPr>
          <w:rFonts w:ascii="Times New Roman" w:hAnsi="Times New Roman" w:cs="Times New Roman"/>
        </w:rPr>
        <w:t>)</w:t>
      </w:r>
      <w:bookmarkEnd w:id="5"/>
    </w:p>
    <w:p w14:paraId="50EDCAB0" w14:textId="0D7980E5" w:rsidR="00E53438" w:rsidRPr="00E53438" w:rsidRDefault="009B1D55" w:rsidP="00450AD9">
      <w:pPr>
        <w:jc w:val="both"/>
        <w:rPr>
          <w:rFonts w:ascii="Times New Roman" w:hAnsi="Times New Roman" w:cs="Times New Roman"/>
          <w:sz w:val="24"/>
          <w:szCs w:val="24"/>
        </w:rPr>
      </w:pPr>
      <w:r w:rsidRPr="00E53438">
        <w:rPr>
          <w:rFonts w:ascii="Times New Roman" w:hAnsi="Times New Roman" w:cs="Times New Roman"/>
          <w:sz w:val="24"/>
          <w:szCs w:val="24"/>
        </w:rPr>
        <w:t>From the September 2022 CASOA for the East Central Council of Governments</w:t>
      </w:r>
      <w:r w:rsidR="00DC5C93">
        <w:rPr>
          <w:rFonts w:ascii="Times New Roman" w:hAnsi="Times New Roman" w:cs="Times New Roman"/>
          <w:sz w:val="24"/>
          <w:szCs w:val="24"/>
        </w:rPr>
        <w:t>,</w:t>
      </w:r>
      <w:r w:rsidRPr="00E53438">
        <w:rPr>
          <w:rFonts w:ascii="Times New Roman" w:hAnsi="Times New Roman" w:cs="Times New Roman"/>
          <w:sz w:val="24"/>
          <w:szCs w:val="24"/>
        </w:rPr>
        <w:t xml:space="preserve"> AAA </w:t>
      </w:r>
      <w:r w:rsidR="00E53438" w:rsidRPr="00E53438">
        <w:rPr>
          <w:rFonts w:ascii="Times New Roman" w:hAnsi="Times New Roman" w:cs="Times New Roman"/>
          <w:sz w:val="24"/>
          <w:szCs w:val="24"/>
        </w:rPr>
        <w:t>received 769 surveys back from a total of 5,634 distributed by POLCO. That gave the region a response rate of 14.69 percent.</w:t>
      </w:r>
    </w:p>
    <w:p w14:paraId="0419E195" w14:textId="525133BF" w:rsidR="00985E68" w:rsidRDefault="00021BC6" w:rsidP="00450AD9">
      <w:pPr>
        <w:jc w:val="both"/>
        <w:rPr>
          <w:rFonts w:ascii="Times New Roman" w:hAnsi="Times New Roman" w:cs="Times New Roman"/>
          <w:sz w:val="24"/>
          <w:szCs w:val="24"/>
        </w:rPr>
      </w:pPr>
      <w:r>
        <w:rPr>
          <w:rFonts w:ascii="Times New Roman" w:hAnsi="Times New Roman" w:cs="Times New Roman"/>
          <w:sz w:val="24"/>
          <w:szCs w:val="24"/>
        </w:rPr>
        <w:t>There are 17 livability topics that fall within six domains</w:t>
      </w:r>
      <w:r w:rsidR="00276D9B">
        <w:rPr>
          <w:rFonts w:ascii="Times New Roman" w:hAnsi="Times New Roman" w:cs="Times New Roman"/>
          <w:sz w:val="24"/>
          <w:szCs w:val="24"/>
        </w:rPr>
        <w:t xml:space="preserve">: Community </w:t>
      </w:r>
      <w:r w:rsidR="00044B19">
        <w:rPr>
          <w:rFonts w:ascii="Times New Roman" w:hAnsi="Times New Roman" w:cs="Times New Roman"/>
          <w:sz w:val="24"/>
          <w:szCs w:val="24"/>
        </w:rPr>
        <w:t>Design, Employment</w:t>
      </w:r>
      <w:r w:rsidR="00276D9B">
        <w:rPr>
          <w:rFonts w:ascii="Times New Roman" w:hAnsi="Times New Roman" w:cs="Times New Roman"/>
          <w:sz w:val="24"/>
          <w:szCs w:val="24"/>
        </w:rPr>
        <w:t xml:space="preserve"> and </w:t>
      </w:r>
      <w:r w:rsidR="00044B19">
        <w:rPr>
          <w:rFonts w:ascii="Times New Roman" w:hAnsi="Times New Roman" w:cs="Times New Roman"/>
          <w:sz w:val="24"/>
          <w:szCs w:val="24"/>
        </w:rPr>
        <w:t>Finances</w:t>
      </w:r>
      <w:r w:rsidR="00276D9B">
        <w:rPr>
          <w:rFonts w:ascii="Times New Roman" w:hAnsi="Times New Roman" w:cs="Times New Roman"/>
          <w:sz w:val="24"/>
          <w:szCs w:val="24"/>
        </w:rPr>
        <w:t>, Equity and Inclusivity, Health &amp; wellness</w:t>
      </w:r>
      <w:r w:rsidR="00044B19">
        <w:rPr>
          <w:rFonts w:ascii="Times New Roman" w:hAnsi="Times New Roman" w:cs="Times New Roman"/>
          <w:sz w:val="24"/>
          <w:szCs w:val="24"/>
        </w:rPr>
        <w:t xml:space="preserve">, Information and Assistance, and Productive Activities. </w:t>
      </w:r>
      <w:r w:rsidR="001C3D2E">
        <w:rPr>
          <w:rFonts w:ascii="Times New Roman" w:hAnsi="Times New Roman" w:cs="Times New Roman"/>
          <w:sz w:val="24"/>
          <w:szCs w:val="24"/>
        </w:rPr>
        <w:t xml:space="preserve">Of those 17, our regions strongest were, Safety, Community Inclusivity and Physical Health. </w:t>
      </w:r>
      <w:r w:rsidR="008A1E92">
        <w:rPr>
          <w:rFonts w:ascii="Times New Roman" w:hAnsi="Times New Roman" w:cs="Times New Roman"/>
          <w:sz w:val="24"/>
          <w:szCs w:val="24"/>
        </w:rPr>
        <w:t xml:space="preserve">The greatest needs for improvement were housing, independent </w:t>
      </w:r>
      <w:r w:rsidR="00020691">
        <w:rPr>
          <w:rFonts w:ascii="Times New Roman" w:hAnsi="Times New Roman" w:cs="Times New Roman"/>
          <w:sz w:val="24"/>
          <w:szCs w:val="24"/>
        </w:rPr>
        <w:t>living,</w:t>
      </w:r>
      <w:r w:rsidR="008A1E92">
        <w:rPr>
          <w:rFonts w:ascii="Times New Roman" w:hAnsi="Times New Roman" w:cs="Times New Roman"/>
          <w:sz w:val="24"/>
          <w:szCs w:val="24"/>
        </w:rPr>
        <w:t xml:space="preserve"> and employment. </w:t>
      </w:r>
    </w:p>
    <w:p w14:paraId="440CCE77" w14:textId="60A4E924" w:rsidR="00C87DA9" w:rsidRDefault="00770DCA" w:rsidP="00450AD9">
      <w:pPr>
        <w:jc w:val="both"/>
        <w:rPr>
          <w:rFonts w:ascii="Times New Roman" w:hAnsi="Times New Roman" w:cs="Times New Roman"/>
          <w:sz w:val="24"/>
          <w:szCs w:val="24"/>
        </w:rPr>
      </w:pPr>
      <w:r>
        <w:rPr>
          <w:rFonts w:ascii="Times New Roman" w:hAnsi="Times New Roman" w:cs="Times New Roman"/>
          <w:sz w:val="24"/>
          <w:szCs w:val="24"/>
        </w:rPr>
        <w:t>To help mitigate needs for improvement, t</w:t>
      </w:r>
      <w:r w:rsidR="00C87DA9">
        <w:rPr>
          <w:rFonts w:ascii="Times New Roman" w:hAnsi="Times New Roman" w:cs="Times New Roman"/>
          <w:sz w:val="24"/>
          <w:szCs w:val="24"/>
        </w:rPr>
        <w:t xml:space="preserve">he East Central AAA </w:t>
      </w:r>
      <w:r w:rsidR="007A1EC7">
        <w:rPr>
          <w:rFonts w:ascii="Times New Roman" w:hAnsi="Times New Roman" w:cs="Times New Roman"/>
          <w:sz w:val="24"/>
          <w:szCs w:val="24"/>
        </w:rPr>
        <w:t>has staff</w:t>
      </w:r>
      <w:r w:rsidR="008F746B">
        <w:rPr>
          <w:rFonts w:ascii="Times New Roman" w:hAnsi="Times New Roman" w:cs="Times New Roman"/>
          <w:sz w:val="24"/>
          <w:szCs w:val="24"/>
        </w:rPr>
        <w:t xml:space="preserve"> members</w:t>
      </w:r>
      <w:r w:rsidR="007A1EC7">
        <w:rPr>
          <w:rFonts w:ascii="Times New Roman" w:hAnsi="Times New Roman" w:cs="Times New Roman"/>
          <w:sz w:val="24"/>
          <w:szCs w:val="24"/>
        </w:rPr>
        <w:t xml:space="preserve"> that sit on a local </w:t>
      </w:r>
      <w:r w:rsidR="00D10C66">
        <w:rPr>
          <w:rFonts w:ascii="Times New Roman" w:hAnsi="Times New Roman" w:cs="Times New Roman"/>
          <w:sz w:val="24"/>
          <w:szCs w:val="24"/>
        </w:rPr>
        <w:t>affordable housing board, and another sits on the State Housing Board</w:t>
      </w:r>
      <w:r w:rsidR="00BC3961">
        <w:rPr>
          <w:rFonts w:ascii="Times New Roman" w:hAnsi="Times New Roman" w:cs="Times New Roman"/>
          <w:sz w:val="24"/>
          <w:szCs w:val="24"/>
        </w:rPr>
        <w:t>. ECCOG staff also participates in the Roadmap to Recovery</w:t>
      </w:r>
      <w:r w:rsidR="00B2376D">
        <w:rPr>
          <w:rFonts w:ascii="Times New Roman" w:hAnsi="Times New Roman" w:cs="Times New Roman"/>
          <w:sz w:val="24"/>
          <w:szCs w:val="24"/>
        </w:rPr>
        <w:t xml:space="preserve"> &amp; Resiliency Initiative</w:t>
      </w:r>
      <w:r w:rsidR="00BC3961">
        <w:rPr>
          <w:rFonts w:ascii="Times New Roman" w:hAnsi="Times New Roman" w:cs="Times New Roman"/>
          <w:sz w:val="24"/>
          <w:szCs w:val="24"/>
        </w:rPr>
        <w:t xml:space="preserve"> to improve </w:t>
      </w:r>
      <w:r w:rsidR="00B2376D">
        <w:rPr>
          <w:rFonts w:ascii="Times New Roman" w:hAnsi="Times New Roman" w:cs="Times New Roman"/>
          <w:sz w:val="24"/>
          <w:szCs w:val="24"/>
        </w:rPr>
        <w:t xml:space="preserve">efforts related to housing within the four counties. </w:t>
      </w:r>
      <w:r w:rsidR="004E009F">
        <w:rPr>
          <w:rFonts w:ascii="Times New Roman" w:hAnsi="Times New Roman" w:cs="Times New Roman"/>
          <w:sz w:val="24"/>
          <w:szCs w:val="24"/>
        </w:rPr>
        <w:t xml:space="preserve">The AAA also partners with the Independence Center to help provide access and assistance to older adults in </w:t>
      </w:r>
      <w:r w:rsidR="004F1976">
        <w:rPr>
          <w:rFonts w:ascii="Times New Roman" w:hAnsi="Times New Roman" w:cs="Times New Roman"/>
          <w:sz w:val="24"/>
          <w:szCs w:val="24"/>
        </w:rPr>
        <w:t xml:space="preserve">modifying their homes to improve accessibility as they age. </w:t>
      </w:r>
      <w:r w:rsidR="004705B9">
        <w:rPr>
          <w:rFonts w:ascii="Times New Roman" w:hAnsi="Times New Roman" w:cs="Times New Roman"/>
          <w:sz w:val="24"/>
          <w:szCs w:val="24"/>
        </w:rPr>
        <w:t xml:space="preserve">Prairie Development Corporation also offers low to moderate income </w:t>
      </w:r>
      <w:r w:rsidR="00020691">
        <w:rPr>
          <w:rFonts w:ascii="Times New Roman" w:hAnsi="Times New Roman" w:cs="Times New Roman"/>
          <w:sz w:val="24"/>
          <w:szCs w:val="24"/>
        </w:rPr>
        <w:t>households’</w:t>
      </w:r>
      <w:r w:rsidR="004705B9">
        <w:rPr>
          <w:rFonts w:ascii="Times New Roman" w:hAnsi="Times New Roman" w:cs="Times New Roman"/>
          <w:sz w:val="24"/>
          <w:szCs w:val="24"/>
        </w:rPr>
        <w:t xml:space="preserve"> rehabilitation loans at very reasonable interest rates to also </w:t>
      </w:r>
      <w:proofErr w:type="gramStart"/>
      <w:r w:rsidR="004705B9">
        <w:rPr>
          <w:rFonts w:ascii="Times New Roman" w:hAnsi="Times New Roman" w:cs="Times New Roman"/>
          <w:sz w:val="24"/>
          <w:szCs w:val="24"/>
        </w:rPr>
        <w:t>provide assistance</w:t>
      </w:r>
      <w:proofErr w:type="gramEnd"/>
      <w:r w:rsidR="004705B9">
        <w:rPr>
          <w:rFonts w:ascii="Times New Roman" w:hAnsi="Times New Roman" w:cs="Times New Roman"/>
          <w:sz w:val="24"/>
          <w:szCs w:val="24"/>
        </w:rPr>
        <w:t xml:space="preserve"> with home maintenance or repairs. </w:t>
      </w:r>
      <w:r w:rsidR="00593649">
        <w:rPr>
          <w:rFonts w:ascii="Times New Roman" w:hAnsi="Times New Roman" w:cs="Times New Roman"/>
          <w:sz w:val="24"/>
          <w:szCs w:val="24"/>
        </w:rPr>
        <w:t xml:space="preserve">ECCOG will continue to advocate for availability of housing stock that is both affordable and suitable </w:t>
      </w:r>
      <w:r w:rsidR="00DE0CBB">
        <w:rPr>
          <w:rFonts w:ascii="Times New Roman" w:hAnsi="Times New Roman" w:cs="Times New Roman"/>
          <w:sz w:val="24"/>
          <w:szCs w:val="24"/>
        </w:rPr>
        <w:t>for older adults.</w:t>
      </w:r>
    </w:p>
    <w:p w14:paraId="24D453AB" w14:textId="3FAFF2BC" w:rsidR="00DD2DE8" w:rsidRDefault="007C4D2B" w:rsidP="00450AD9">
      <w:pPr>
        <w:jc w:val="both"/>
        <w:rPr>
          <w:rFonts w:ascii="Times New Roman" w:hAnsi="Times New Roman" w:cs="Times New Roman"/>
          <w:sz w:val="24"/>
          <w:szCs w:val="24"/>
        </w:rPr>
      </w:pPr>
      <w:r>
        <w:rPr>
          <w:rFonts w:ascii="Times New Roman" w:hAnsi="Times New Roman" w:cs="Times New Roman"/>
          <w:sz w:val="24"/>
          <w:szCs w:val="24"/>
        </w:rPr>
        <w:t>To</w:t>
      </w:r>
      <w:r w:rsidR="000E5A26">
        <w:rPr>
          <w:rFonts w:ascii="Times New Roman" w:hAnsi="Times New Roman" w:cs="Times New Roman"/>
          <w:sz w:val="24"/>
          <w:szCs w:val="24"/>
        </w:rPr>
        <w:t xml:space="preserve"> help improve independent living conditions for residents of the region</w:t>
      </w:r>
      <w:r w:rsidR="00BF7440">
        <w:rPr>
          <w:rFonts w:ascii="Times New Roman" w:hAnsi="Times New Roman" w:cs="Times New Roman"/>
          <w:sz w:val="24"/>
          <w:szCs w:val="24"/>
        </w:rPr>
        <w:t>,</w:t>
      </w:r>
      <w:r w:rsidR="000E5A26">
        <w:rPr>
          <w:rFonts w:ascii="Times New Roman" w:hAnsi="Times New Roman" w:cs="Times New Roman"/>
          <w:sz w:val="24"/>
          <w:szCs w:val="24"/>
        </w:rPr>
        <w:t xml:space="preserve"> ECCOG </w:t>
      </w:r>
      <w:r w:rsidR="00BF7440">
        <w:rPr>
          <w:rFonts w:ascii="Times New Roman" w:hAnsi="Times New Roman" w:cs="Times New Roman"/>
          <w:sz w:val="24"/>
          <w:szCs w:val="24"/>
        </w:rPr>
        <w:t>will champion</w:t>
      </w:r>
      <w:r w:rsidR="00B97FCA">
        <w:rPr>
          <w:rFonts w:ascii="Times New Roman" w:hAnsi="Times New Roman" w:cs="Times New Roman"/>
          <w:sz w:val="24"/>
          <w:szCs w:val="24"/>
        </w:rPr>
        <w:t xml:space="preserve"> for </w:t>
      </w:r>
      <w:r w:rsidR="008E0CCA">
        <w:rPr>
          <w:rFonts w:ascii="Times New Roman" w:hAnsi="Times New Roman" w:cs="Times New Roman"/>
          <w:sz w:val="24"/>
          <w:szCs w:val="24"/>
        </w:rPr>
        <w:t>sustained hospital, clinical and nursing home</w:t>
      </w:r>
      <w:r w:rsidR="00B71B43">
        <w:rPr>
          <w:rFonts w:ascii="Times New Roman" w:hAnsi="Times New Roman" w:cs="Times New Roman"/>
          <w:sz w:val="24"/>
          <w:szCs w:val="24"/>
        </w:rPr>
        <w:t xml:space="preserve"> availability.</w:t>
      </w:r>
      <w:r w:rsidR="0049313E">
        <w:rPr>
          <w:rFonts w:ascii="Times New Roman" w:hAnsi="Times New Roman" w:cs="Times New Roman"/>
          <w:sz w:val="24"/>
          <w:szCs w:val="24"/>
        </w:rPr>
        <w:t xml:space="preserve"> To support more aging in place ECCOG will continue partnerships with local providers who can provide </w:t>
      </w:r>
      <w:r w:rsidR="00056CB2">
        <w:rPr>
          <w:rFonts w:ascii="Times New Roman" w:hAnsi="Times New Roman" w:cs="Times New Roman"/>
          <w:sz w:val="24"/>
          <w:szCs w:val="24"/>
        </w:rPr>
        <w:t xml:space="preserve">homemaker or chore services, and exercise/fitness classes. </w:t>
      </w:r>
      <w:r w:rsidR="00B91D58">
        <w:rPr>
          <w:rFonts w:ascii="Times New Roman" w:hAnsi="Times New Roman" w:cs="Times New Roman"/>
          <w:sz w:val="24"/>
          <w:szCs w:val="24"/>
        </w:rPr>
        <w:t>The East Central AAA also expanded their material assistance program beginning in January of 2023</w:t>
      </w:r>
      <w:r w:rsidR="00DD2DE8">
        <w:rPr>
          <w:rFonts w:ascii="Times New Roman" w:hAnsi="Times New Roman" w:cs="Times New Roman"/>
          <w:sz w:val="24"/>
          <w:szCs w:val="24"/>
        </w:rPr>
        <w:t>,</w:t>
      </w:r>
      <w:r w:rsidR="00B91D58">
        <w:rPr>
          <w:rFonts w:ascii="Times New Roman" w:hAnsi="Times New Roman" w:cs="Times New Roman"/>
          <w:sz w:val="24"/>
          <w:szCs w:val="24"/>
        </w:rPr>
        <w:t xml:space="preserve"> to offer more </w:t>
      </w:r>
      <w:r w:rsidR="004D68CE">
        <w:rPr>
          <w:rFonts w:ascii="Times New Roman" w:hAnsi="Times New Roman" w:cs="Times New Roman"/>
          <w:sz w:val="24"/>
          <w:szCs w:val="24"/>
        </w:rPr>
        <w:t xml:space="preserve">assistance towards home modifications to improve the livability of older </w:t>
      </w:r>
      <w:r>
        <w:rPr>
          <w:rFonts w:ascii="Times New Roman" w:hAnsi="Times New Roman" w:cs="Times New Roman"/>
          <w:sz w:val="24"/>
          <w:szCs w:val="24"/>
        </w:rPr>
        <w:t>adults’</w:t>
      </w:r>
      <w:r w:rsidR="004D68CE">
        <w:rPr>
          <w:rFonts w:ascii="Times New Roman" w:hAnsi="Times New Roman" w:cs="Times New Roman"/>
          <w:sz w:val="24"/>
          <w:szCs w:val="24"/>
        </w:rPr>
        <w:t xml:space="preserve"> homes.</w:t>
      </w:r>
    </w:p>
    <w:p w14:paraId="1D9FD74D" w14:textId="6B7B5025" w:rsidR="00657656" w:rsidRDefault="006A7666" w:rsidP="00450AD9">
      <w:pPr>
        <w:jc w:val="both"/>
        <w:rPr>
          <w:rFonts w:ascii="Times New Roman" w:hAnsi="Times New Roman" w:cs="Times New Roman"/>
          <w:sz w:val="24"/>
          <w:szCs w:val="24"/>
        </w:rPr>
      </w:pPr>
      <w:r>
        <w:rPr>
          <w:rFonts w:ascii="Times New Roman" w:hAnsi="Times New Roman" w:cs="Times New Roman"/>
          <w:sz w:val="24"/>
          <w:szCs w:val="24"/>
        </w:rPr>
        <w:t>To help combat employment limitations for older adults in the region, ECCOG will provide some technology training and workshops</w:t>
      </w:r>
      <w:r w:rsidR="00744330">
        <w:rPr>
          <w:rFonts w:ascii="Times New Roman" w:hAnsi="Times New Roman" w:cs="Times New Roman"/>
          <w:sz w:val="24"/>
          <w:szCs w:val="24"/>
        </w:rPr>
        <w:t xml:space="preserve"> to improve their work skills. </w:t>
      </w:r>
      <w:r w:rsidR="000846B9">
        <w:rPr>
          <w:rFonts w:ascii="Times New Roman" w:hAnsi="Times New Roman" w:cs="Times New Roman"/>
          <w:sz w:val="24"/>
          <w:szCs w:val="24"/>
        </w:rPr>
        <w:t xml:space="preserve">In partnership with the Colorado Workforce Center, </w:t>
      </w:r>
      <w:r w:rsidR="00BC37B7">
        <w:rPr>
          <w:rFonts w:ascii="Times New Roman" w:hAnsi="Times New Roman" w:cs="Times New Roman"/>
          <w:sz w:val="24"/>
          <w:szCs w:val="24"/>
        </w:rPr>
        <w:t xml:space="preserve">ECCOG plans to </w:t>
      </w:r>
      <w:r w:rsidR="00701920">
        <w:rPr>
          <w:rFonts w:ascii="Times New Roman" w:hAnsi="Times New Roman" w:cs="Times New Roman"/>
          <w:sz w:val="24"/>
          <w:szCs w:val="24"/>
        </w:rPr>
        <w:t xml:space="preserve">offer a senior job fair, potentially of </w:t>
      </w:r>
      <w:r w:rsidR="00070BEC">
        <w:rPr>
          <w:rFonts w:ascii="Times New Roman" w:hAnsi="Times New Roman" w:cs="Times New Roman"/>
          <w:sz w:val="24"/>
          <w:szCs w:val="24"/>
        </w:rPr>
        <w:t xml:space="preserve">fall of 2023. This would offer seniors </w:t>
      </w:r>
      <w:r w:rsidR="007C4D2B">
        <w:rPr>
          <w:rFonts w:ascii="Times New Roman" w:hAnsi="Times New Roman" w:cs="Times New Roman"/>
          <w:sz w:val="24"/>
          <w:szCs w:val="24"/>
        </w:rPr>
        <w:t>a</w:t>
      </w:r>
      <w:r w:rsidR="00070BEC">
        <w:rPr>
          <w:rFonts w:ascii="Times New Roman" w:hAnsi="Times New Roman" w:cs="Times New Roman"/>
          <w:sz w:val="24"/>
          <w:szCs w:val="24"/>
        </w:rPr>
        <w:t xml:space="preserve"> first look at opportunities available in the region and see where they may fit in local organizations and </w:t>
      </w:r>
      <w:r w:rsidR="00A641F7">
        <w:rPr>
          <w:rFonts w:ascii="Times New Roman" w:hAnsi="Times New Roman" w:cs="Times New Roman"/>
          <w:sz w:val="24"/>
          <w:szCs w:val="24"/>
        </w:rPr>
        <w:t xml:space="preserve">businesses. </w:t>
      </w:r>
    </w:p>
    <w:p w14:paraId="68D56BA0" w14:textId="77777777" w:rsidR="007B2C40" w:rsidRDefault="00925DD6" w:rsidP="00450AD9">
      <w:pPr>
        <w:jc w:val="both"/>
        <w:rPr>
          <w:rFonts w:ascii="Times New Roman" w:hAnsi="Times New Roman" w:cs="Times New Roman"/>
          <w:sz w:val="24"/>
          <w:szCs w:val="24"/>
        </w:rPr>
      </w:pPr>
      <w:r>
        <w:rPr>
          <w:rFonts w:ascii="Times New Roman" w:hAnsi="Times New Roman" w:cs="Times New Roman"/>
          <w:sz w:val="24"/>
          <w:szCs w:val="24"/>
        </w:rPr>
        <w:t xml:space="preserve">Through paid and unpaid </w:t>
      </w:r>
      <w:r w:rsidR="0019193D">
        <w:rPr>
          <w:rFonts w:ascii="Times New Roman" w:hAnsi="Times New Roman" w:cs="Times New Roman"/>
          <w:sz w:val="24"/>
          <w:szCs w:val="24"/>
        </w:rPr>
        <w:t xml:space="preserve">contributions </w:t>
      </w:r>
      <w:r>
        <w:rPr>
          <w:rFonts w:ascii="Times New Roman" w:hAnsi="Times New Roman" w:cs="Times New Roman"/>
          <w:sz w:val="24"/>
          <w:szCs w:val="24"/>
        </w:rPr>
        <w:t xml:space="preserve">older adults in the AAA region in 2022 </w:t>
      </w:r>
      <w:r w:rsidR="007544F7">
        <w:rPr>
          <w:rFonts w:ascii="Times New Roman" w:hAnsi="Times New Roman" w:cs="Times New Roman"/>
          <w:sz w:val="24"/>
          <w:szCs w:val="24"/>
        </w:rPr>
        <w:t xml:space="preserve">totaled $231,256,476. </w:t>
      </w:r>
      <w:r w:rsidR="001218FD">
        <w:rPr>
          <w:rFonts w:ascii="Times New Roman" w:hAnsi="Times New Roman" w:cs="Times New Roman"/>
          <w:sz w:val="24"/>
          <w:szCs w:val="24"/>
        </w:rPr>
        <w:t>Unpaid versus</w:t>
      </w:r>
      <w:r w:rsidR="00312EF2">
        <w:rPr>
          <w:rFonts w:ascii="Times New Roman" w:hAnsi="Times New Roman" w:cs="Times New Roman"/>
          <w:sz w:val="24"/>
          <w:szCs w:val="24"/>
        </w:rPr>
        <w:t xml:space="preserve"> paid contributions were </w:t>
      </w:r>
      <w:proofErr w:type="gramStart"/>
      <w:r w:rsidR="00312EF2">
        <w:rPr>
          <w:rFonts w:ascii="Times New Roman" w:hAnsi="Times New Roman" w:cs="Times New Roman"/>
          <w:sz w:val="24"/>
          <w:szCs w:val="24"/>
        </w:rPr>
        <w:t xml:space="preserve">in close </w:t>
      </w:r>
      <w:r w:rsidR="00132200">
        <w:rPr>
          <w:rFonts w:ascii="Times New Roman" w:hAnsi="Times New Roman" w:cs="Times New Roman"/>
          <w:sz w:val="24"/>
          <w:szCs w:val="24"/>
        </w:rPr>
        <w:t>proximity to</w:t>
      </w:r>
      <w:proofErr w:type="gramEnd"/>
      <w:r w:rsidR="00132200">
        <w:rPr>
          <w:rFonts w:ascii="Times New Roman" w:hAnsi="Times New Roman" w:cs="Times New Roman"/>
          <w:sz w:val="24"/>
          <w:szCs w:val="24"/>
        </w:rPr>
        <w:t xml:space="preserve"> each </w:t>
      </w:r>
      <w:proofErr w:type="gramStart"/>
      <w:r w:rsidR="00132200">
        <w:rPr>
          <w:rFonts w:ascii="Times New Roman" w:hAnsi="Times New Roman" w:cs="Times New Roman"/>
          <w:sz w:val="24"/>
          <w:szCs w:val="24"/>
        </w:rPr>
        <w:t>other</w:t>
      </w:r>
      <w:proofErr w:type="gramEnd"/>
      <w:r w:rsidR="00132200">
        <w:rPr>
          <w:rFonts w:ascii="Times New Roman" w:hAnsi="Times New Roman" w:cs="Times New Roman"/>
          <w:sz w:val="24"/>
          <w:szCs w:val="24"/>
        </w:rPr>
        <w:t xml:space="preserve"> contributing almost a 50/50 split. </w:t>
      </w:r>
      <w:r w:rsidR="003874A5">
        <w:rPr>
          <w:rFonts w:ascii="Times New Roman" w:hAnsi="Times New Roman" w:cs="Times New Roman"/>
          <w:sz w:val="24"/>
          <w:szCs w:val="24"/>
        </w:rPr>
        <w:t xml:space="preserve">This </w:t>
      </w:r>
      <w:r w:rsidR="00353FF0">
        <w:rPr>
          <w:rFonts w:ascii="Times New Roman" w:hAnsi="Times New Roman" w:cs="Times New Roman"/>
          <w:sz w:val="24"/>
          <w:szCs w:val="24"/>
        </w:rPr>
        <w:t xml:space="preserve">shows how important these individuals are towards the overall economic health of the region. If they all retired and did not volunteer, </w:t>
      </w:r>
      <w:r w:rsidR="00FD75A1">
        <w:rPr>
          <w:rFonts w:ascii="Times New Roman" w:hAnsi="Times New Roman" w:cs="Times New Roman"/>
          <w:sz w:val="24"/>
          <w:szCs w:val="24"/>
        </w:rPr>
        <w:t xml:space="preserve">the </w:t>
      </w:r>
      <w:r w:rsidR="00353FF0">
        <w:rPr>
          <w:rFonts w:ascii="Times New Roman" w:hAnsi="Times New Roman" w:cs="Times New Roman"/>
          <w:sz w:val="24"/>
          <w:szCs w:val="24"/>
        </w:rPr>
        <w:t>region would take a huge h</w:t>
      </w:r>
      <w:r w:rsidR="00FD75A1">
        <w:rPr>
          <w:rFonts w:ascii="Times New Roman" w:hAnsi="Times New Roman" w:cs="Times New Roman"/>
          <w:sz w:val="24"/>
          <w:szCs w:val="24"/>
        </w:rPr>
        <w:t xml:space="preserve">it in the workforce and </w:t>
      </w:r>
      <w:r w:rsidR="006172B9">
        <w:rPr>
          <w:rFonts w:ascii="Times New Roman" w:hAnsi="Times New Roman" w:cs="Times New Roman"/>
          <w:sz w:val="24"/>
          <w:szCs w:val="24"/>
        </w:rPr>
        <w:t xml:space="preserve">financially. </w:t>
      </w:r>
    </w:p>
    <w:p w14:paraId="356B059F" w14:textId="1515D059" w:rsidR="00B70128" w:rsidRDefault="007B2C40">
      <w:pPr>
        <w:rPr>
          <w:rFonts w:ascii="Times New Roman" w:hAnsi="Times New Roman" w:cs="Times New Roman"/>
          <w:sz w:val="24"/>
          <w:szCs w:val="24"/>
        </w:rPr>
      </w:pPr>
      <w:r>
        <w:rPr>
          <w:rFonts w:ascii="Times New Roman" w:hAnsi="Times New Roman" w:cs="Times New Roman"/>
          <w:sz w:val="24"/>
          <w:szCs w:val="24"/>
        </w:rPr>
        <w:lastRenderedPageBreak/>
        <w:t>To summarize</w:t>
      </w:r>
      <w:r w:rsidR="00AF4C72">
        <w:rPr>
          <w:rFonts w:ascii="Times New Roman" w:hAnsi="Times New Roman" w:cs="Times New Roman"/>
          <w:sz w:val="24"/>
          <w:szCs w:val="24"/>
        </w:rPr>
        <w:t xml:space="preserve">, the quality of life within the region shows that 77% find this region </w:t>
      </w:r>
      <w:r w:rsidR="00D11F12">
        <w:rPr>
          <w:rFonts w:ascii="Times New Roman" w:hAnsi="Times New Roman" w:cs="Times New Roman"/>
          <w:sz w:val="24"/>
          <w:szCs w:val="24"/>
        </w:rPr>
        <w:t xml:space="preserve">as </w:t>
      </w:r>
      <w:r w:rsidR="00AF4C72">
        <w:rPr>
          <w:rFonts w:ascii="Times New Roman" w:hAnsi="Times New Roman" w:cs="Times New Roman"/>
          <w:sz w:val="24"/>
          <w:szCs w:val="24"/>
        </w:rPr>
        <w:t>a place they wish to live and retire. Along with that</w:t>
      </w:r>
      <w:r w:rsidR="00B53545">
        <w:rPr>
          <w:rFonts w:ascii="Times New Roman" w:hAnsi="Times New Roman" w:cs="Times New Roman"/>
          <w:sz w:val="24"/>
          <w:szCs w:val="24"/>
        </w:rPr>
        <w:t>,</w:t>
      </w:r>
      <w:r w:rsidR="00AF4C72">
        <w:rPr>
          <w:rFonts w:ascii="Times New Roman" w:hAnsi="Times New Roman" w:cs="Times New Roman"/>
          <w:sz w:val="24"/>
          <w:szCs w:val="24"/>
        </w:rPr>
        <w:t xml:space="preserve"> 67% also </w:t>
      </w:r>
      <w:r w:rsidR="006F25E5">
        <w:rPr>
          <w:rFonts w:ascii="Times New Roman" w:hAnsi="Times New Roman" w:cs="Times New Roman"/>
          <w:sz w:val="24"/>
          <w:szCs w:val="24"/>
        </w:rPr>
        <w:t>want to remain within the community or region</w:t>
      </w:r>
      <w:r w:rsidR="00A11827">
        <w:rPr>
          <w:rFonts w:ascii="Times New Roman" w:hAnsi="Times New Roman" w:cs="Times New Roman"/>
          <w:sz w:val="24"/>
          <w:szCs w:val="24"/>
        </w:rPr>
        <w:t xml:space="preserve">. </w:t>
      </w:r>
      <w:r w:rsidR="00AD5336">
        <w:rPr>
          <w:rFonts w:ascii="Times New Roman" w:hAnsi="Times New Roman" w:cs="Times New Roman"/>
          <w:sz w:val="24"/>
          <w:szCs w:val="24"/>
        </w:rPr>
        <w:t xml:space="preserve">Older adults </w:t>
      </w:r>
      <w:r w:rsidR="00D11F12">
        <w:rPr>
          <w:rFonts w:ascii="Times New Roman" w:hAnsi="Times New Roman" w:cs="Times New Roman"/>
          <w:sz w:val="24"/>
          <w:szCs w:val="24"/>
        </w:rPr>
        <w:t xml:space="preserve">feel safe, included and </w:t>
      </w:r>
      <w:r w:rsidR="00946EFD">
        <w:rPr>
          <w:rFonts w:ascii="Times New Roman" w:hAnsi="Times New Roman" w:cs="Times New Roman"/>
          <w:sz w:val="24"/>
          <w:szCs w:val="24"/>
        </w:rPr>
        <w:t>physically able to remain independently in their homes</w:t>
      </w:r>
      <w:r w:rsidR="00AD5336">
        <w:rPr>
          <w:rFonts w:ascii="Times New Roman" w:hAnsi="Times New Roman" w:cs="Times New Roman"/>
          <w:sz w:val="24"/>
          <w:szCs w:val="24"/>
        </w:rPr>
        <w:t xml:space="preserve"> and communities to </w:t>
      </w:r>
      <w:r w:rsidR="009D4FD1">
        <w:rPr>
          <w:rFonts w:ascii="Times New Roman" w:hAnsi="Times New Roman" w:cs="Times New Roman"/>
          <w:sz w:val="24"/>
          <w:szCs w:val="24"/>
        </w:rPr>
        <w:t>continue to age well.</w:t>
      </w:r>
    </w:p>
    <w:p w14:paraId="39512BDD" w14:textId="79146671" w:rsidR="00F9660D" w:rsidRDefault="00B70128">
      <w:pPr>
        <w:rPr>
          <w:rFonts w:ascii="Times New Roman" w:hAnsi="Times New Roman" w:cs="Times New Roman"/>
          <w:sz w:val="24"/>
          <w:szCs w:val="24"/>
        </w:rPr>
      </w:pPr>
      <w:r>
        <w:rPr>
          <w:rFonts w:ascii="Times New Roman" w:hAnsi="Times New Roman" w:cs="Times New Roman"/>
          <w:sz w:val="24"/>
          <w:szCs w:val="24"/>
        </w:rPr>
        <w:t xml:space="preserve">For those who wish to read more details about the CASOA report please </w:t>
      </w:r>
      <w:r w:rsidR="00F9660D">
        <w:rPr>
          <w:rFonts w:ascii="Times New Roman" w:hAnsi="Times New Roman" w:cs="Times New Roman"/>
          <w:sz w:val="24"/>
          <w:szCs w:val="24"/>
        </w:rPr>
        <w:t xml:space="preserve">go to the following link </w:t>
      </w:r>
      <w:r w:rsidR="00280400">
        <w:rPr>
          <w:rFonts w:ascii="Times New Roman" w:hAnsi="Times New Roman" w:cs="Times New Roman"/>
          <w:sz w:val="24"/>
          <w:szCs w:val="24"/>
        </w:rPr>
        <w:t xml:space="preserve">to the C4A website </w:t>
      </w:r>
      <w:r w:rsidR="00F9660D">
        <w:rPr>
          <w:rFonts w:ascii="Times New Roman" w:hAnsi="Times New Roman" w:cs="Times New Roman"/>
          <w:sz w:val="24"/>
          <w:szCs w:val="24"/>
        </w:rPr>
        <w:t xml:space="preserve">and you will find the East Central Council of Governments’ report there. </w:t>
      </w:r>
    </w:p>
    <w:p w14:paraId="55AD378E" w14:textId="123D01C2" w:rsidR="00AD5336" w:rsidRDefault="005A7D2B">
      <w:pPr>
        <w:rPr>
          <w:rFonts w:ascii="Times New Roman" w:hAnsi="Times New Roman" w:cs="Times New Roman"/>
        </w:rPr>
      </w:pPr>
      <w:hyperlink r:id="rId16" w:history="1">
        <w:r w:rsidR="00AD5336" w:rsidRPr="00A0703D">
          <w:rPr>
            <w:rStyle w:val="Hyperlink"/>
            <w:rFonts w:ascii="Times New Roman" w:hAnsi="Times New Roman" w:cs="Times New Roman"/>
            <w:sz w:val="24"/>
            <w:szCs w:val="24"/>
          </w:rPr>
          <w:t>https://www.c4a-colorado.org/casoa-reports/</w:t>
        </w:r>
      </w:hyperlink>
    </w:p>
    <w:p w14:paraId="5EFCA175" w14:textId="11D5E48A" w:rsidR="00E46A06" w:rsidRPr="00AD5336" w:rsidRDefault="00E46A06">
      <w:pPr>
        <w:rPr>
          <w:rFonts w:ascii="Times New Roman" w:hAnsi="Times New Roman" w:cs="Times New Roman"/>
          <w:sz w:val="24"/>
          <w:szCs w:val="24"/>
        </w:rPr>
      </w:pPr>
      <w:r w:rsidRPr="00AD5336">
        <w:rPr>
          <w:rFonts w:ascii="Times New Roman" w:hAnsi="Times New Roman" w:cs="Times New Roman"/>
        </w:rPr>
        <w:br w:type="page"/>
      </w:r>
    </w:p>
    <w:p w14:paraId="41963667" w14:textId="04515321" w:rsidR="00985E68" w:rsidRPr="00A6669C" w:rsidRDefault="00AD74DF" w:rsidP="00AD74DF">
      <w:pPr>
        <w:pStyle w:val="Heading1"/>
        <w:rPr>
          <w:rFonts w:ascii="Times New Roman" w:hAnsi="Times New Roman" w:cs="Times New Roman"/>
        </w:rPr>
      </w:pPr>
      <w:bookmarkStart w:id="6" w:name="_Toc130291148"/>
      <w:r w:rsidRPr="00A6669C">
        <w:rPr>
          <w:rFonts w:ascii="Times New Roman" w:hAnsi="Times New Roman" w:cs="Times New Roman"/>
        </w:rPr>
        <w:lastRenderedPageBreak/>
        <w:t>Section V: Volunteers</w:t>
      </w:r>
      <w:r w:rsidR="00136FA1" w:rsidRPr="00A6669C">
        <w:rPr>
          <w:rFonts w:ascii="Times New Roman" w:hAnsi="Times New Roman" w:cs="Times New Roman"/>
        </w:rPr>
        <w:t xml:space="preserve"> </w:t>
      </w:r>
      <w:r w:rsidR="008E102A" w:rsidRPr="00A6669C">
        <w:rPr>
          <w:rFonts w:ascii="Times New Roman" w:hAnsi="Times New Roman" w:cs="Times New Roman"/>
        </w:rPr>
        <w:t>– their contributions now, and future opportunities</w:t>
      </w:r>
      <w:bookmarkEnd w:id="6"/>
    </w:p>
    <w:p w14:paraId="6D6646E8" w14:textId="77777777" w:rsidR="00450AD9" w:rsidRDefault="00450AD9" w:rsidP="00450AD9">
      <w:pPr>
        <w:jc w:val="both"/>
        <w:rPr>
          <w:rStyle w:val="Strong"/>
          <w:rFonts w:ascii="Times New Roman" w:hAnsi="Times New Roman" w:cs="Times New Roman"/>
          <w:b w:val="0"/>
          <w:bCs w:val="0"/>
          <w:sz w:val="24"/>
          <w:szCs w:val="24"/>
        </w:rPr>
      </w:pPr>
    </w:p>
    <w:p w14:paraId="41CE36D8" w14:textId="47A27485" w:rsidR="00B811EB" w:rsidRDefault="000150DF" w:rsidP="00450AD9">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Currently</w:t>
      </w:r>
      <w:r w:rsidR="00450AD9">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the Eastern Central AAA has volunteers predominately in the meal program</w:t>
      </w:r>
      <w:r w:rsidR="00450AD9">
        <w:rPr>
          <w:rStyle w:val="Strong"/>
          <w:rFonts w:ascii="Times New Roman" w:hAnsi="Times New Roman" w:cs="Times New Roman"/>
          <w:b w:val="0"/>
          <w:bCs w:val="0"/>
          <w:sz w:val="24"/>
          <w:szCs w:val="24"/>
        </w:rPr>
        <w:t>,</w:t>
      </w:r>
      <w:r w:rsidR="000B4C53">
        <w:rPr>
          <w:rStyle w:val="Strong"/>
          <w:rFonts w:ascii="Times New Roman" w:hAnsi="Times New Roman" w:cs="Times New Roman"/>
          <w:b w:val="0"/>
          <w:bCs w:val="0"/>
          <w:sz w:val="24"/>
          <w:szCs w:val="24"/>
        </w:rPr>
        <w:t xml:space="preserve"> Project SMILE. These volunteers help predominantly by delivering the meals to home-bound </w:t>
      </w:r>
      <w:r w:rsidR="00B811EB">
        <w:rPr>
          <w:rStyle w:val="Strong"/>
          <w:rFonts w:ascii="Times New Roman" w:hAnsi="Times New Roman" w:cs="Times New Roman"/>
          <w:b w:val="0"/>
          <w:bCs w:val="0"/>
          <w:sz w:val="24"/>
          <w:szCs w:val="24"/>
        </w:rPr>
        <w:t>individuals</w:t>
      </w:r>
      <w:r w:rsidR="000B4C53">
        <w:rPr>
          <w:rStyle w:val="Strong"/>
          <w:rFonts w:ascii="Times New Roman" w:hAnsi="Times New Roman" w:cs="Times New Roman"/>
          <w:b w:val="0"/>
          <w:bCs w:val="0"/>
          <w:sz w:val="24"/>
          <w:szCs w:val="24"/>
        </w:rPr>
        <w:t xml:space="preserve">. Some volunteers help </w:t>
      </w:r>
      <w:r w:rsidR="00B811EB">
        <w:rPr>
          <w:rStyle w:val="Strong"/>
          <w:rFonts w:ascii="Times New Roman" w:hAnsi="Times New Roman" w:cs="Times New Roman"/>
          <w:b w:val="0"/>
          <w:bCs w:val="0"/>
          <w:sz w:val="24"/>
          <w:szCs w:val="24"/>
        </w:rPr>
        <w:t xml:space="preserve">in congregate sites by setting up tables, chairs, and arranging table settings. </w:t>
      </w:r>
    </w:p>
    <w:p w14:paraId="736452BA" w14:textId="3310F648" w:rsidR="00391A82" w:rsidRDefault="00B04D6E" w:rsidP="00450AD9">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The AAA will work towards opening more volunteer opportunities through various programs like transportation, </w:t>
      </w:r>
      <w:r w:rsidR="00433D34">
        <w:rPr>
          <w:rStyle w:val="Strong"/>
          <w:rFonts w:ascii="Times New Roman" w:hAnsi="Times New Roman" w:cs="Times New Roman"/>
          <w:b w:val="0"/>
          <w:bCs w:val="0"/>
          <w:sz w:val="24"/>
          <w:szCs w:val="24"/>
        </w:rPr>
        <w:t>and evidence</w:t>
      </w:r>
      <w:r w:rsidR="00450AD9">
        <w:rPr>
          <w:rStyle w:val="Strong"/>
          <w:rFonts w:ascii="Times New Roman" w:hAnsi="Times New Roman" w:cs="Times New Roman"/>
          <w:b w:val="0"/>
          <w:bCs w:val="0"/>
          <w:sz w:val="24"/>
          <w:szCs w:val="24"/>
        </w:rPr>
        <w:t>-</w:t>
      </w:r>
      <w:r w:rsidR="00433D34">
        <w:rPr>
          <w:rStyle w:val="Strong"/>
          <w:rFonts w:ascii="Times New Roman" w:hAnsi="Times New Roman" w:cs="Times New Roman"/>
          <w:b w:val="0"/>
          <w:bCs w:val="0"/>
          <w:sz w:val="24"/>
          <w:szCs w:val="24"/>
        </w:rPr>
        <w:t>based</w:t>
      </w:r>
      <w:r w:rsidR="004058DF">
        <w:rPr>
          <w:rStyle w:val="Strong"/>
          <w:rFonts w:ascii="Times New Roman" w:hAnsi="Times New Roman" w:cs="Times New Roman"/>
          <w:b w:val="0"/>
          <w:bCs w:val="0"/>
          <w:sz w:val="24"/>
          <w:szCs w:val="24"/>
        </w:rPr>
        <w:t xml:space="preserve"> workshops</w:t>
      </w:r>
      <w:r w:rsidR="00433D34">
        <w:rPr>
          <w:rStyle w:val="Strong"/>
          <w:rFonts w:ascii="Times New Roman" w:hAnsi="Times New Roman" w:cs="Times New Roman"/>
          <w:b w:val="0"/>
          <w:bCs w:val="0"/>
          <w:sz w:val="24"/>
          <w:szCs w:val="24"/>
        </w:rPr>
        <w:t>/classes</w:t>
      </w:r>
      <w:r w:rsidR="000150DF">
        <w:rPr>
          <w:rStyle w:val="Strong"/>
          <w:rFonts w:ascii="Times New Roman" w:hAnsi="Times New Roman" w:cs="Times New Roman"/>
          <w:b w:val="0"/>
          <w:bCs w:val="0"/>
          <w:sz w:val="24"/>
          <w:szCs w:val="24"/>
        </w:rPr>
        <w:t xml:space="preserve">. </w:t>
      </w:r>
    </w:p>
    <w:p w14:paraId="38465D68" w14:textId="7E7A3E03" w:rsidR="00770D9C" w:rsidRPr="00391A82" w:rsidRDefault="00770D9C">
      <w:pPr>
        <w:rPr>
          <w:rStyle w:val="Strong"/>
          <w:b w:val="0"/>
          <w:bCs w:val="0"/>
        </w:rPr>
      </w:pPr>
      <w:r>
        <w:rPr>
          <w:rStyle w:val="Strong"/>
        </w:rPr>
        <w:br w:type="page"/>
      </w:r>
    </w:p>
    <w:p w14:paraId="32A9F420" w14:textId="5837505F" w:rsidR="00770D9C" w:rsidRPr="00A6669C" w:rsidRDefault="00770D9C" w:rsidP="009F5666">
      <w:pPr>
        <w:pStyle w:val="Heading1"/>
        <w:rPr>
          <w:rStyle w:val="Strong"/>
          <w:rFonts w:ascii="Times New Roman" w:hAnsi="Times New Roman" w:cs="Times New Roman"/>
          <w:b w:val="0"/>
        </w:rPr>
      </w:pPr>
      <w:bookmarkStart w:id="7" w:name="_Toc130291149"/>
      <w:r w:rsidRPr="00A6669C">
        <w:rPr>
          <w:rStyle w:val="Strong"/>
          <w:rFonts w:ascii="Times New Roman" w:hAnsi="Times New Roman" w:cs="Times New Roman"/>
          <w:b w:val="0"/>
        </w:rPr>
        <w:lastRenderedPageBreak/>
        <w:t>Section V</w:t>
      </w:r>
      <w:r w:rsidR="00DD7EC1" w:rsidRPr="00A6669C">
        <w:rPr>
          <w:rStyle w:val="Strong"/>
          <w:rFonts w:ascii="Times New Roman" w:hAnsi="Times New Roman" w:cs="Times New Roman"/>
          <w:b w:val="0"/>
        </w:rPr>
        <w:t>I</w:t>
      </w:r>
      <w:r w:rsidRPr="00A6669C">
        <w:rPr>
          <w:rStyle w:val="Strong"/>
          <w:rFonts w:ascii="Times New Roman" w:hAnsi="Times New Roman" w:cs="Times New Roman"/>
          <w:b w:val="0"/>
        </w:rPr>
        <w:t xml:space="preserve">: </w:t>
      </w:r>
      <w:r w:rsidR="00587AA7" w:rsidRPr="00A6669C">
        <w:rPr>
          <w:rStyle w:val="Strong"/>
          <w:rFonts w:ascii="Times New Roman" w:hAnsi="Times New Roman" w:cs="Times New Roman"/>
          <w:b w:val="0"/>
        </w:rPr>
        <w:t>Covid-19/Pandemic Response</w:t>
      </w:r>
      <w:bookmarkEnd w:id="7"/>
    </w:p>
    <w:p w14:paraId="4EE662B3" w14:textId="34352628" w:rsidR="00286885" w:rsidRPr="0003190E" w:rsidRDefault="00454BD2" w:rsidP="00286885">
      <w:pPr>
        <w:pStyle w:val="ListParagraph"/>
        <w:numPr>
          <w:ilvl w:val="0"/>
          <w:numId w:val="2"/>
        </w:numPr>
        <w:rPr>
          <w:rStyle w:val="Strong"/>
          <w:rFonts w:ascii="Times New Roman" w:hAnsi="Times New Roman" w:cs="Times New Roman"/>
          <w:sz w:val="24"/>
          <w:szCs w:val="24"/>
        </w:rPr>
      </w:pPr>
      <w:r w:rsidRPr="0003190E">
        <w:rPr>
          <w:rStyle w:val="Strong"/>
          <w:rFonts w:ascii="Times New Roman" w:hAnsi="Times New Roman" w:cs="Times New Roman"/>
          <w:sz w:val="24"/>
          <w:szCs w:val="24"/>
        </w:rPr>
        <w:t>How has the pandemic impacted social isolation and loneliness in the R</w:t>
      </w:r>
      <w:r w:rsidR="00960DB6" w:rsidRPr="0003190E">
        <w:rPr>
          <w:rStyle w:val="Strong"/>
          <w:rFonts w:ascii="Times New Roman" w:hAnsi="Times New Roman" w:cs="Times New Roman"/>
          <w:sz w:val="24"/>
          <w:szCs w:val="24"/>
        </w:rPr>
        <w:t>egion? What is your AAA and Region doing to address this?</w:t>
      </w:r>
    </w:p>
    <w:p w14:paraId="233C74CE" w14:textId="0865204C" w:rsidR="00712CFB" w:rsidRPr="0003190E" w:rsidRDefault="00712CFB" w:rsidP="00712CFB">
      <w:pPr>
        <w:pStyle w:val="ListParagraph"/>
        <w:rPr>
          <w:rStyle w:val="Strong"/>
          <w:rFonts w:ascii="Times New Roman" w:hAnsi="Times New Roman" w:cs="Times New Roman"/>
          <w:b w:val="0"/>
          <w:bCs w:val="0"/>
          <w:sz w:val="24"/>
          <w:szCs w:val="24"/>
        </w:rPr>
      </w:pPr>
      <w:r w:rsidRPr="0003190E">
        <w:rPr>
          <w:rStyle w:val="Strong"/>
          <w:rFonts w:ascii="Times New Roman" w:hAnsi="Times New Roman" w:cs="Times New Roman"/>
          <w:b w:val="0"/>
          <w:bCs w:val="0"/>
          <w:sz w:val="24"/>
          <w:szCs w:val="24"/>
        </w:rPr>
        <w:t xml:space="preserve">During the pandemic older adults </w:t>
      </w:r>
      <w:r w:rsidR="000B26C7" w:rsidRPr="0003190E">
        <w:rPr>
          <w:rStyle w:val="Strong"/>
          <w:rFonts w:ascii="Times New Roman" w:hAnsi="Times New Roman" w:cs="Times New Roman"/>
          <w:b w:val="0"/>
          <w:bCs w:val="0"/>
          <w:sz w:val="24"/>
          <w:szCs w:val="24"/>
        </w:rPr>
        <w:t>were told to stay home and stay safe</w:t>
      </w:r>
      <w:r w:rsidR="002F1CBC" w:rsidRPr="0003190E">
        <w:rPr>
          <w:rStyle w:val="Strong"/>
          <w:rFonts w:ascii="Times New Roman" w:hAnsi="Times New Roman" w:cs="Times New Roman"/>
          <w:b w:val="0"/>
          <w:bCs w:val="0"/>
          <w:sz w:val="24"/>
          <w:szCs w:val="24"/>
        </w:rPr>
        <w:t xml:space="preserve"> which escalated the effects of isolation and lon</w:t>
      </w:r>
      <w:r w:rsidR="00DD549A" w:rsidRPr="0003190E">
        <w:rPr>
          <w:rStyle w:val="Strong"/>
          <w:rFonts w:ascii="Times New Roman" w:hAnsi="Times New Roman" w:cs="Times New Roman"/>
          <w:b w:val="0"/>
          <w:bCs w:val="0"/>
          <w:sz w:val="24"/>
          <w:szCs w:val="24"/>
        </w:rPr>
        <w:t>e</w:t>
      </w:r>
      <w:r w:rsidR="002F1CBC" w:rsidRPr="0003190E">
        <w:rPr>
          <w:rStyle w:val="Strong"/>
          <w:rFonts w:ascii="Times New Roman" w:hAnsi="Times New Roman" w:cs="Times New Roman"/>
          <w:b w:val="0"/>
          <w:bCs w:val="0"/>
          <w:sz w:val="24"/>
          <w:szCs w:val="24"/>
        </w:rPr>
        <w:t>liness</w:t>
      </w:r>
      <w:r w:rsidR="000B26C7" w:rsidRPr="0003190E">
        <w:rPr>
          <w:rStyle w:val="Strong"/>
          <w:rFonts w:ascii="Times New Roman" w:hAnsi="Times New Roman" w:cs="Times New Roman"/>
          <w:b w:val="0"/>
          <w:bCs w:val="0"/>
          <w:sz w:val="24"/>
          <w:szCs w:val="24"/>
        </w:rPr>
        <w:t xml:space="preserve">. </w:t>
      </w:r>
      <w:r w:rsidR="00532258" w:rsidRPr="0003190E">
        <w:rPr>
          <w:rStyle w:val="Strong"/>
          <w:rFonts w:ascii="Times New Roman" w:hAnsi="Times New Roman" w:cs="Times New Roman"/>
          <w:b w:val="0"/>
          <w:bCs w:val="0"/>
          <w:sz w:val="24"/>
          <w:szCs w:val="24"/>
        </w:rPr>
        <w:t xml:space="preserve"> To mitigate loneliness and isolation</w:t>
      </w:r>
      <w:r w:rsidR="00A35521" w:rsidRPr="0003190E">
        <w:rPr>
          <w:rStyle w:val="Strong"/>
          <w:rFonts w:ascii="Times New Roman" w:hAnsi="Times New Roman" w:cs="Times New Roman"/>
          <w:b w:val="0"/>
          <w:bCs w:val="0"/>
          <w:sz w:val="24"/>
          <w:szCs w:val="24"/>
        </w:rPr>
        <w:t xml:space="preserve">, </w:t>
      </w:r>
      <w:r w:rsidR="000B26C7" w:rsidRPr="0003190E">
        <w:rPr>
          <w:rStyle w:val="Strong"/>
          <w:rFonts w:ascii="Times New Roman" w:hAnsi="Times New Roman" w:cs="Times New Roman"/>
          <w:b w:val="0"/>
          <w:bCs w:val="0"/>
          <w:sz w:val="24"/>
          <w:szCs w:val="24"/>
        </w:rPr>
        <w:t>ECCOG staff</w:t>
      </w:r>
      <w:r w:rsidR="00532258" w:rsidRPr="0003190E">
        <w:rPr>
          <w:rStyle w:val="Strong"/>
          <w:rFonts w:ascii="Times New Roman" w:hAnsi="Times New Roman" w:cs="Times New Roman"/>
          <w:b w:val="0"/>
          <w:bCs w:val="0"/>
          <w:sz w:val="24"/>
          <w:szCs w:val="24"/>
        </w:rPr>
        <w:t>,</w:t>
      </w:r>
      <w:r w:rsidR="000B26C7" w:rsidRPr="0003190E">
        <w:rPr>
          <w:rStyle w:val="Strong"/>
          <w:rFonts w:ascii="Times New Roman" w:hAnsi="Times New Roman" w:cs="Times New Roman"/>
          <w:b w:val="0"/>
          <w:bCs w:val="0"/>
          <w:sz w:val="24"/>
          <w:szCs w:val="24"/>
        </w:rPr>
        <w:t xml:space="preserve"> specifically the Senior </w:t>
      </w:r>
      <w:r w:rsidR="00060572" w:rsidRPr="0003190E">
        <w:rPr>
          <w:rStyle w:val="Strong"/>
          <w:rFonts w:ascii="Times New Roman" w:hAnsi="Times New Roman" w:cs="Times New Roman"/>
          <w:b w:val="0"/>
          <w:bCs w:val="0"/>
          <w:sz w:val="24"/>
          <w:szCs w:val="24"/>
        </w:rPr>
        <w:t>Service</w:t>
      </w:r>
      <w:r w:rsidR="000B26C7" w:rsidRPr="0003190E">
        <w:rPr>
          <w:rStyle w:val="Strong"/>
          <w:rFonts w:ascii="Times New Roman" w:hAnsi="Times New Roman" w:cs="Times New Roman"/>
          <w:b w:val="0"/>
          <w:bCs w:val="0"/>
          <w:sz w:val="24"/>
          <w:szCs w:val="24"/>
        </w:rPr>
        <w:t xml:space="preserve"> Coordinators</w:t>
      </w:r>
      <w:r w:rsidR="00532258" w:rsidRPr="0003190E">
        <w:rPr>
          <w:rStyle w:val="Strong"/>
          <w:rFonts w:ascii="Times New Roman" w:hAnsi="Times New Roman" w:cs="Times New Roman"/>
          <w:b w:val="0"/>
          <w:bCs w:val="0"/>
          <w:sz w:val="24"/>
          <w:szCs w:val="24"/>
        </w:rPr>
        <w:t>,</w:t>
      </w:r>
      <w:r w:rsidR="000B26C7" w:rsidRPr="0003190E">
        <w:rPr>
          <w:rStyle w:val="Strong"/>
          <w:rFonts w:ascii="Times New Roman" w:hAnsi="Times New Roman" w:cs="Times New Roman"/>
          <w:b w:val="0"/>
          <w:bCs w:val="0"/>
          <w:sz w:val="24"/>
          <w:szCs w:val="24"/>
        </w:rPr>
        <w:t xml:space="preserve"> </w:t>
      </w:r>
      <w:r w:rsidR="00060572" w:rsidRPr="0003190E">
        <w:rPr>
          <w:rStyle w:val="Strong"/>
          <w:rFonts w:ascii="Times New Roman" w:hAnsi="Times New Roman" w:cs="Times New Roman"/>
          <w:b w:val="0"/>
          <w:bCs w:val="0"/>
          <w:sz w:val="24"/>
          <w:szCs w:val="24"/>
        </w:rPr>
        <w:t>sent</w:t>
      </w:r>
      <w:r w:rsidR="009D28D5" w:rsidRPr="0003190E">
        <w:rPr>
          <w:rStyle w:val="Strong"/>
          <w:rFonts w:ascii="Times New Roman" w:hAnsi="Times New Roman" w:cs="Times New Roman"/>
          <w:b w:val="0"/>
          <w:bCs w:val="0"/>
          <w:sz w:val="24"/>
          <w:szCs w:val="24"/>
        </w:rPr>
        <w:t xml:space="preserve"> “Thinking of You cards”</w:t>
      </w:r>
      <w:r w:rsidR="00060572" w:rsidRPr="0003190E">
        <w:rPr>
          <w:rStyle w:val="Strong"/>
          <w:rFonts w:ascii="Times New Roman" w:hAnsi="Times New Roman" w:cs="Times New Roman"/>
          <w:b w:val="0"/>
          <w:bCs w:val="0"/>
          <w:sz w:val="24"/>
          <w:szCs w:val="24"/>
        </w:rPr>
        <w:t xml:space="preserve"> and</w:t>
      </w:r>
      <w:r w:rsidR="001036EA" w:rsidRPr="0003190E">
        <w:rPr>
          <w:rStyle w:val="Strong"/>
          <w:rFonts w:ascii="Times New Roman" w:hAnsi="Times New Roman" w:cs="Times New Roman"/>
          <w:b w:val="0"/>
          <w:bCs w:val="0"/>
          <w:sz w:val="24"/>
          <w:szCs w:val="24"/>
        </w:rPr>
        <w:t xml:space="preserve"> called the seniors routinely to check in and </w:t>
      </w:r>
      <w:r w:rsidR="00254782" w:rsidRPr="0003190E">
        <w:rPr>
          <w:rStyle w:val="Strong"/>
          <w:rFonts w:ascii="Times New Roman" w:hAnsi="Times New Roman" w:cs="Times New Roman"/>
          <w:b w:val="0"/>
          <w:bCs w:val="0"/>
          <w:sz w:val="24"/>
          <w:szCs w:val="24"/>
        </w:rPr>
        <w:t xml:space="preserve">see how they were handling the isolation. Staff also </w:t>
      </w:r>
      <w:r w:rsidR="00D612A7" w:rsidRPr="0003190E">
        <w:rPr>
          <w:rStyle w:val="Strong"/>
          <w:rFonts w:ascii="Times New Roman" w:hAnsi="Times New Roman" w:cs="Times New Roman"/>
          <w:b w:val="0"/>
          <w:bCs w:val="0"/>
          <w:sz w:val="24"/>
          <w:szCs w:val="24"/>
        </w:rPr>
        <w:t xml:space="preserve">established a Buddy Reassurance </w:t>
      </w:r>
      <w:r w:rsidR="00F25D6C" w:rsidRPr="0003190E">
        <w:rPr>
          <w:rStyle w:val="Strong"/>
          <w:rFonts w:ascii="Times New Roman" w:hAnsi="Times New Roman" w:cs="Times New Roman"/>
          <w:b w:val="0"/>
          <w:bCs w:val="0"/>
          <w:sz w:val="24"/>
          <w:szCs w:val="24"/>
        </w:rPr>
        <w:t>system so that older adults could also check i</w:t>
      </w:r>
      <w:r w:rsidR="0007439F" w:rsidRPr="0003190E">
        <w:rPr>
          <w:rStyle w:val="Strong"/>
          <w:rFonts w:ascii="Times New Roman" w:hAnsi="Times New Roman" w:cs="Times New Roman"/>
          <w:b w:val="0"/>
          <w:bCs w:val="0"/>
          <w:sz w:val="24"/>
          <w:szCs w:val="24"/>
        </w:rPr>
        <w:t>n with each</w:t>
      </w:r>
      <w:r w:rsidR="00F25D6C" w:rsidRPr="0003190E">
        <w:rPr>
          <w:rStyle w:val="Strong"/>
          <w:rFonts w:ascii="Times New Roman" w:hAnsi="Times New Roman" w:cs="Times New Roman"/>
          <w:b w:val="0"/>
          <w:bCs w:val="0"/>
          <w:sz w:val="24"/>
          <w:szCs w:val="24"/>
        </w:rPr>
        <w:t xml:space="preserve"> other, helping to maintain some socializing through </w:t>
      </w:r>
      <w:r w:rsidR="0007439F" w:rsidRPr="0003190E">
        <w:rPr>
          <w:rStyle w:val="Strong"/>
          <w:rFonts w:ascii="Times New Roman" w:hAnsi="Times New Roman" w:cs="Times New Roman"/>
          <w:b w:val="0"/>
          <w:bCs w:val="0"/>
          <w:sz w:val="24"/>
          <w:szCs w:val="24"/>
        </w:rPr>
        <w:t xml:space="preserve">texts and phone calls. </w:t>
      </w:r>
    </w:p>
    <w:p w14:paraId="212BB6CA" w14:textId="18F194F0" w:rsidR="00960DB6" w:rsidRPr="0003190E" w:rsidRDefault="00960DB6" w:rsidP="00454BD2">
      <w:pPr>
        <w:pStyle w:val="ListParagraph"/>
        <w:numPr>
          <w:ilvl w:val="0"/>
          <w:numId w:val="2"/>
        </w:numPr>
        <w:rPr>
          <w:rStyle w:val="Strong"/>
          <w:rFonts w:ascii="Times New Roman" w:hAnsi="Times New Roman" w:cs="Times New Roman"/>
          <w:sz w:val="24"/>
          <w:szCs w:val="24"/>
        </w:rPr>
      </w:pPr>
      <w:r w:rsidRPr="0003190E">
        <w:rPr>
          <w:rStyle w:val="Strong"/>
          <w:rFonts w:ascii="Times New Roman" w:hAnsi="Times New Roman" w:cs="Times New Roman"/>
          <w:sz w:val="24"/>
          <w:szCs w:val="24"/>
        </w:rPr>
        <w:t>What changes in service delivery have been implemented during the pandemic that have been identified as a best practice that will continue?</w:t>
      </w:r>
    </w:p>
    <w:p w14:paraId="26071B41" w14:textId="236732D6" w:rsidR="00A35521" w:rsidRDefault="00CA327C" w:rsidP="00A35521">
      <w:pPr>
        <w:pStyle w:val="ListParagraph"/>
        <w:rPr>
          <w:rStyle w:val="Strong"/>
          <w:rFonts w:ascii="Times New Roman" w:hAnsi="Times New Roman" w:cs="Times New Roman"/>
          <w:b w:val="0"/>
          <w:bCs w:val="0"/>
          <w:sz w:val="24"/>
          <w:szCs w:val="24"/>
        </w:rPr>
      </w:pPr>
      <w:r w:rsidRPr="0003190E">
        <w:rPr>
          <w:rStyle w:val="Strong"/>
          <w:rFonts w:ascii="Times New Roman" w:hAnsi="Times New Roman" w:cs="Times New Roman"/>
          <w:b w:val="0"/>
          <w:bCs w:val="0"/>
          <w:sz w:val="24"/>
          <w:szCs w:val="24"/>
        </w:rPr>
        <w:t>When congregate meals could not be offered anymore</w:t>
      </w:r>
      <w:r w:rsidR="007613C3" w:rsidRPr="0003190E">
        <w:rPr>
          <w:rStyle w:val="Strong"/>
          <w:rFonts w:ascii="Times New Roman" w:hAnsi="Times New Roman" w:cs="Times New Roman"/>
          <w:b w:val="0"/>
          <w:bCs w:val="0"/>
          <w:sz w:val="24"/>
          <w:szCs w:val="24"/>
        </w:rPr>
        <w:t xml:space="preserve"> due to </w:t>
      </w:r>
      <w:r w:rsidR="00040322" w:rsidRPr="0003190E">
        <w:rPr>
          <w:rStyle w:val="Strong"/>
          <w:rFonts w:ascii="Times New Roman" w:hAnsi="Times New Roman" w:cs="Times New Roman"/>
          <w:b w:val="0"/>
          <w:bCs w:val="0"/>
          <w:sz w:val="24"/>
          <w:szCs w:val="24"/>
        </w:rPr>
        <w:t>risk of spreading COVID-19, all meal delivery services were converted to home</w:t>
      </w:r>
      <w:r w:rsidR="00924B08" w:rsidRPr="0003190E">
        <w:rPr>
          <w:rStyle w:val="Strong"/>
          <w:rFonts w:ascii="Times New Roman" w:hAnsi="Times New Roman" w:cs="Times New Roman"/>
          <w:b w:val="0"/>
          <w:bCs w:val="0"/>
          <w:sz w:val="24"/>
          <w:szCs w:val="24"/>
        </w:rPr>
        <w:t xml:space="preserve"> delivery. This practice will continue in the future and </w:t>
      </w:r>
      <w:r w:rsidR="009C3CAC" w:rsidRPr="0003190E">
        <w:rPr>
          <w:rStyle w:val="Strong"/>
          <w:rFonts w:ascii="Times New Roman" w:hAnsi="Times New Roman" w:cs="Times New Roman"/>
          <w:b w:val="0"/>
          <w:bCs w:val="0"/>
          <w:sz w:val="24"/>
          <w:szCs w:val="24"/>
        </w:rPr>
        <w:t xml:space="preserve">if another emergency arises, we are already prepared to react to that demand. </w:t>
      </w:r>
    </w:p>
    <w:p w14:paraId="1FDF5332" w14:textId="264B64B0" w:rsidR="00A11D23" w:rsidRPr="0003190E" w:rsidRDefault="002A6393" w:rsidP="00A35521">
      <w:pPr>
        <w:pStyle w:val="ListParagraph"/>
        <w:rPr>
          <w:rStyle w:val="Strong"/>
          <w:rFonts w:ascii="Times New Roman" w:hAnsi="Times New Roman" w:cs="Times New Roman"/>
          <w:sz w:val="24"/>
          <w:szCs w:val="24"/>
        </w:rPr>
      </w:pPr>
      <w:r>
        <w:rPr>
          <w:rStyle w:val="Strong"/>
          <w:rFonts w:ascii="Times New Roman" w:hAnsi="Times New Roman" w:cs="Times New Roman"/>
          <w:b w:val="0"/>
          <w:bCs w:val="0"/>
          <w:sz w:val="24"/>
          <w:szCs w:val="24"/>
        </w:rPr>
        <w:t xml:space="preserve">For all participants FEMA Food Boxes were distributed throughout the region. This helped provide shelf stable food items </w:t>
      </w:r>
      <w:r w:rsidR="006A00B6">
        <w:rPr>
          <w:rStyle w:val="Strong"/>
          <w:rFonts w:ascii="Times New Roman" w:hAnsi="Times New Roman" w:cs="Times New Roman"/>
          <w:b w:val="0"/>
          <w:bCs w:val="0"/>
          <w:sz w:val="24"/>
          <w:szCs w:val="24"/>
        </w:rPr>
        <w:t xml:space="preserve">when families </w:t>
      </w:r>
      <w:proofErr w:type="gramStart"/>
      <w:r w:rsidR="006A00B6">
        <w:rPr>
          <w:rStyle w:val="Strong"/>
          <w:rFonts w:ascii="Times New Roman" w:hAnsi="Times New Roman" w:cs="Times New Roman"/>
          <w:b w:val="0"/>
          <w:bCs w:val="0"/>
          <w:sz w:val="24"/>
          <w:szCs w:val="24"/>
        </w:rPr>
        <w:t>weren’t able to</w:t>
      </w:r>
      <w:proofErr w:type="gramEnd"/>
      <w:r w:rsidR="006A00B6">
        <w:rPr>
          <w:rStyle w:val="Strong"/>
          <w:rFonts w:ascii="Times New Roman" w:hAnsi="Times New Roman" w:cs="Times New Roman"/>
          <w:b w:val="0"/>
          <w:bCs w:val="0"/>
          <w:sz w:val="24"/>
          <w:szCs w:val="24"/>
        </w:rPr>
        <w:t xml:space="preserve"> get out </w:t>
      </w:r>
      <w:proofErr w:type="gramStart"/>
      <w:r w:rsidR="006A00B6">
        <w:rPr>
          <w:rStyle w:val="Strong"/>
          <w:rFonts w:ascii="Times New Roman" w:hAnsi="Times New Roman" w:cs="Times New Roman"/>
          <w:b w:val="0"/>
          <w:bCs w:val="0"/>
          <w:sz w:val="24"/>
          <w:szCs w:val="24"/>
        </w:rPr>
        <w:t>within</w:t>
      </w:r>
      <w:proofErr w:type="gramEnd"/>
      <w:r w:rsidR="006A00B6">
        <w:rPr>
          <w:rStyle w:val="Strong"/>
          <w:rFonts w:ascii="Times New Roman" w:hAnsi="Times New Roman" w:cs="Times New Roman"/>
          <w:b w:val="0"/>
          <w:bCs w:val="0"/>
          <w:sz w:val="24"/>
          <w:szCs w:val="24"/>
        </w:rPr>
        <w:t xml:space="preserve"> the community and shop</w:t>
      </w:r>
      <w:r w:rsidR="00A16AD0">
        <w:rPr>
          <w:rStyle w:val="Strong"/>
          <w:rFonts w:ascii="Times New Roman" w:hAnsi="Times New Roman" w:cs="Times New Roman"/>
          <w:b w:val="0"/>
          <w:bCs w:val="0"/>
          <w:sz w:val="24"/>
          <w:szCs w:val="24"/>
        </w:rPr>
        <w:t xml:space="preserve"> for</w:t>
      </w:r>
      <w:r w:rsidR="006A00B6">
        <w:rPr>
          <w:rStyle w:val="Strong"/>
          <w:rFonts w:ascii="Times New Roman" w:hAnsi="Times New Roman" w:cs="Times New Roman"/>
          <w:b w:val="0"/>
          <w:bCs w:val="0"/>
          <w:sz w:val="24"/>
          <w:szCs w:val="24"/>
        </w:rPr>
        <w:t xml:space="preserve"> themselves. </w:t>
      </w:r>
    </w:p>
    <w:p w14:paraId="113ABED9" w14:textId="35627726" w:rsidR="00960DB6" w:rsidRPr="0003190E" w:rsidRDefault="00960DB6" w:rsidP="00454BD2">
      <w:pPr>
        <w:pStyle w:val="ListParagraph"/>
        <w:numPr>
          <w:ilvl w:val="0"/>
          <w:numId w:val="2"/>
        </w:numPr>
        <w:rPr>
          <w:rStyle w:val="Strong"/>
          <w:rFonts w:ascii="Times New Roman" w:hAnsi="Times New Roman" w:cs="Times New Roman"/>
          <w:sz w:val="24"/>
          <w:szCs w:val="24"/>
        </w:rPr>
      </w:pPr>
      <w:r w:rsidRPr="0003190E">
        <w:rPr>
          <w:rStyle w:val="Strong"/>
          <w:rFonts w:ascii="Times New Roman" w:hAnsi="Times New Roman" w:cs="Times New Roman"/>
          <w:sz w:val="24"/>
          <w:szCs w:val="24"/>
        </w:rPr>
        <w:t>What strategies has the AAA use</w:t>
      </w:r>
      <w:r w:rsidR="00A16AD0">
        <w:rPr>
          <w:rStyle w:val="Strong"/>
          <w:rFonts w:ascii="Times New Roman" w:hAnsi="Times New Roman" w:cs="Times New Roman"/>
          <w:sz w:val="24"/>
          <w:szCs w:val="24"/>
        </w:rPr>
        <w:t>d</w:t>
      </w:r>
      <w:r w:rsidRPr="0003190E">
        <w:rPr>
          <w:rStyle w:val="Strong"/>
          <w:rFonts w:ascii="Times New Roman" w:hAnsi="Times New Roman" w:cs="Times New Roman"/>
          <w:sz w:val="24"/>
          <w:szCs w:val="24"/>
        </w:rPr>
        <w:t xml:space="preserve"> to retain staff and volunteers to ensure well-being during the pandemic?</w:t>
      </w:r>
    </w:p>
    <w:p w14:paraId="0FA00468" w14:textId="622F26AD" w:rsidR="00504974" w:rsidRPr="0003190E" w:rsidRDefault="00504974" w:rsidP="00504974">
      <w:pPr>
        <w:pStyle w:val="ListParagraph"/>
        <w:numPr>
          <w:ilvl w:val="1"/>
          <w:numId w:val="2"/>
        </w:numPr>
        <w:rPr>
          <w:rStyle w:val="Strong"/>
          <w:rFonts w:ascii="Times New Roman" w:hAnsi="Times New Roman" w:cs="Times New Roman"/>
          <w:b w:val="0"/>
          <w:bCs w:val="0"/>
          <w:sz w:val="24"/>
          <w:szCs w:val="24"/>
        </w:rPr>
      </w:pPr>
      <w:r w:rsidRPr="0003190E">
        <w:rPr>
          <w:rStyle w:val="Strong"/>
          <w:rFonts w:ascii="Times New Roman" w:hAnsi="Times New Roman" w:cs="Times New Roman"/>
          <w:b w:val="0"/>
          <w:bCs w:val="0"/>
          <w:sz w:val="24"/>
          <w:szCs w:val="24"/>
        </w:rPr>
        <w:t xml:space="preserve">Self-care packages </w:t>
      </w:r>
      <w:r w:rsidR="00A8635E">
        <w:rPr>
          <w:rStyle w:val="Strong"/>
          <w:rFonts w:ascii="Times New Roman" w:hAnsi="Times New Roman" w:cs="Times New Roman"/>
          <w:b w:val="0"/>
          <w:bCs w:val="0"/>
          <w:sz w:val="24"/>
          <w:szCs w:val="24"/>
        </w:rPr>
        <w:t xml:space="preserve">for employees </w:t>
      </w:r>
    </w:p>
    <w:p w14:paraId="2BFE538C" w14:textId="0706BC1F" w:rsidR="00504974" w:rsidRDefault="00504974" w:rsidP="00504974">
      <w:pPr>
        <w:pStyle w:val="ListParagraph"/>
        <w:numPr>
          <w:ilvl w:val="1"/>
          <w:numId w:val="2"/>
        </w:numPr>
        <w:rPr>
          <w:rStyle w:val="Strong"/>
          <w:rFonts w:ascii="Times New Roman" w:hAnsi="Times New Roman" w:cs="Times New Roman"/>
          <w:b w:val="0"/>
          <w:bCs w:val="0"/>
          <w:sz w:val="24"/>
          <w:szCs w:val="24"/>
        </w:rPr>
      </w:pPr>
      <w:r w:rsidRPr="0003190E">
        <w:rPr>
          <w:rStyle w:val="Strong"/>
          <w:rFonts w:ascii="Times New Roman" w:hAnsi="Times New Roman" w:cs="Times New Roman"/>
          <w:b w:val="0"/>
          <w:bCs w:val="0"/>
          <w:sz w:val="24"/>
          <w:szCs w:val="24"/>
        </w:rPr>
        <w:t xml:space="preserve">Increase in wages across all positions to increase </w:t>
      </w:r>
      <w:r w:rsidR="00920275" w:rsidRPr="0003190E">
        <w:rPr>
          <w:rStyle w:val="Strong"/>
          <w:rFonts w:ascii="Times New Roman" w:hAnsi="Times New Roman" w:cs="Times New Roman"/>
          <w:b w:val="0"/>
          <w:bCs w:val="0"/>
          <w:sz w:val="24"/>
          <w:szCs w:val="24"/>
        </w:rPr>
        <w:t xml:space="preserve">competitiveness with other companies and </w:t>
      </w:r>
      <w:proofErr w:type="gramStart"/>
      <w:r w:rsidR="00920275" w:rsidRPr="0003190E">
        <w:rPr>
          <w:rStyle w:val="Strong"/>
          <w:rFonts w:ascii="Times New Roman" w:hAnsi="Times New Roman" w:cs="Times New Roman"/>
          <w:b w:val="0"/>
          <w:bCs w:val="0"/>
          <w:sz w:val="24"/>
          <w:szCs w:val="24"/>
        </w:rPr>
        <w:t>corporations</w:t>
      </w:r>
      <w:proofErr w:type="gramEnd"/>
    </w:p>
    <w:p w14:paraId="4EEA890C" w14:textId="27756166" w:rsidR="007A6FF1" w:rsidRPr="0003190E" w:rsidRDefault="007A6FF1" w:rsidP="00504974">
      <w:pPr>
        <w:pStyle w:val="ListParagraph"/>
        <w:numPr>
          <w:ilvl w:val="1"/>
          <w:numId w:val="2"/>
        </w:num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Provided </w:t>
      </w:r>
      <w:r w:rsidR="006F7D75">
        <w:rPr>
          <w:rStyle w:val="Strong"/>
          <w:rFonts w:ascii="Times New Roman" w:hAnsi="Times New Roman" w:cs="Times New Roman"/>
          <w:b w:val="0"/>
          <w:bCs w:val="0"/>
          <w:sz w:val="24"/>
          <w:szCs w:val="24"/>
        </w:rPr>
        <w:t xml:space="preserve">appreciation </w:t>
      </w:r>
      <w:r>
        <w:rPr>
          <w:rStyle w:val="Strong"/>
          <w:rFonts w:ascii="Times New Roman" w:hAnsi="Times New Roman" w:cs="Times New Roman"/>
          <w:b w:val="0"/>
          <w:bCs w:val="0"/>
          <w:sz w:val="24"/>
          <w:szCs w:val="24"/>
        </w:rPr>
        <w:t xml:space="preserve">bonuses for employees who stayed with ECCOG through the </w:t>
      </w:r>
      <w:proofErr w:type="gramStart"/>
      <w:r>
        <w:rPr>
          <w:rStyle w:val="Strong"/>
          <w:rFonts w:ascii="Times New Roman" w:hAnsi="Times New Roman" w:cs="Times New Roman"/>
          <w:b w:val="0"/>
          <w:bCs w:val="0"/>
          <w:sz w:val="24"/>
          <w:szCs w:val="24"/>
        </w:rPr>
        <w:t>pandemic</w:t>
      </w:r>
      <w:proofErr w:type="gramEnd"/>
    </w:p>
    <w:p w14:paraId="462E263A" w14:textId="349B66A0" w:rsidR="00920275" w:rsidRDefault="00724230" w:rsidP="00504974">
      <w:pPr>
        <w:pStyle w:val="ListParagraph"/>
        <w:numPr>
          <w:ilvl w:val="1"/>
          <w:numId w:val="2"/>
        </w:num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Volunteer </w:t>
      </w:r>
      <w:r w:rsidR="003F2790" w:rsidRPr="0003190E">
        <w:rPr>
          <w:rStyle w:val="Strong"/>
          <w:rFonts w:ascii="Times New Roman" w:hAnsi="Times New Roman" w:cs="Times New Roman"/>
          <w:b w:val="0"/>
          <w:bCs w:val="0"/>
          <w:sz w:val="24"/>
          <w:szCs w:val="24"/>
        </w:rPr>
        <w:t>Home-delivered meal driver</w:t>
      </w:r>
      <w:r>
        <w:rPr>
          <w:rStyle w:val="Strong"/>
          <w:rFonts w:ascii="Times New Roman" w:hAnsi="Times New Roman" w:cs="Times New Roman"/>
          <w:b w:val="0"/>
          <w:bCs w:val="0"/>
          <w:sz w:val="24"/>
          <w:szCs w:val="24"/>
        </w:rPr>
        <w:t>s</w:t>
      </w:r>
      <w:r w:rsidR="00841C48" w:rsidRPr="0003190E">
        <w:rPr>
          <w:rStyle w:val="Strong"/>
          <w:rFonts w:ascii="Times New Roman" w:hAnsi="Times New Roman" w:cs="Times New Roman"/>
          <w:b w:val="0"/>
          <w:bCs w:val="0"/>
          <w:sz w:val="24"/>
          <w:szCs w:val="24"/>
        </w:rPr>
        <w:t xml:space="preserve"> receive a mileage </w:t>
      </w:r>
      <w:proofErr w:type="gramStart"/>
      <w:r w:rsidR="00841C48" w:rsidRPr="0003190E">
        <w:rPr>
          <w:rStyle w:val="Strong"/>
          <w:rFonts w:ascii="Times New Roman" w:hAnsi="Times New Roman" w:cs="Times New Roman"/>
          <w:b w:val="0"/>
          <w:bCs w:val="0"/>
          <w:sz w:val="24"/>
          <w:szCs w:val="24"/>
        </w:rPr>
        <w:t>reimbursement</w:t>
      </w:r>
      <w:proofErr w:type="gramEnd"/>
    </w:p>
    <w:p w14:paraId="64522146" w14:textId="1DAF95CA" w:rsidR="009F5F3C" w:rsidRPr="0003190E" w:rsidRDefault="009F5F3C" w:rsidP="00504974">
      <w:pPr>
        <w:pStyle w:val="ListParagraph"/>
        <w:numPr>
          <w:ilvl w:val="1"/>
          <w:numId w:val="2"/>
        </w:num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Office staff </w:t>
      </w:r>
      <w:r w:rsidR="0040554A">
        <w:rPr>
          <w:rStyle w:val="Strong"/>
          <w:rFonts w:ascii="Times New Roman" w:hAnsi="Times New Roman" w:cs="Times New Roman"/>
          <w:b w:val="0"/>
          <w:bCs w:val="0"/>
          <w:sz w:val="24"/>
          <w:szCs w:val="24"/>
        </w:rPr>
        <w:t>pivoted towards work from home to continue service delivery and tracking</w:t>
      </w:r>
      <w:r w:rsidR="00FA7B4B">
        <w:rPr>
          <w:rStyle w:val="Strong"/>
          <w:rFonts w:ascii="Times New Roman" w:hAnsi="Times New Roman" w:cs="Times New Roman"/>
          <w:b w:val="0"/>
          <w:bCs w:val="0"/>
          <w:sz w:val="24"/>
          <w:szCs w:val="24"/>
        </w:rPr>
        <w:t xml:space="preserve"> as required to reduce </w:t>
      </w:r>
      <w:proofErr w:type="gramStart"/>
      <w:r w:rsidR="00FA7B4B">
        <w:rPr>
          <w:rStyle w:val="Strong"/>
          <w:rFonts w:ascii="Times New Roman" w:hAnsi="Times New Roman" w:cs="Times New Roman"/>
          <w:b w:val="0"/>
          <w:bCs w:val="0"/>
          <w:sz w:val="24"/>
          <w:szCs w:val="24"/>
        </w:rPr>
        <w:t>spread</w:t>
      </w:r>
      <w:proofErr w:type="gramEnd"/>
    </w:p>
    <w:p w14:paraId="1B01A8FD" w14:textId="081A709E" w:rsidR="00841C48" w:rsidRDefault="00841C48" w:rsidP="00841C48">
      <w:pPr>
        <w:pStyle w:val="ListParagraph"/>
        <w:numPr>
          <w:ilvl w:val="0"/>
          <w:numId w:val="2"/>
        </w:numPr>
        <w:rPr>
          <w:rStyle w:val="Strong"/>
          <w:rFonts w:ascii="Times New Roman" w:hAnsi="Times New Roman" w:cs="Times New Roman"/>
          <w:sz w:val="24"/>
          <w:szCs w:val="24"/>
        </w:rPr>
      </w:pPr>
      <w:r w:rsidRPr="0003190E">
        <w:rPr>
          <w:rStyle w:val="Strong"/>
          <w:rFonts w:ascii="Times New Roman" w:hAnsi="Times New Roman" w:cs="Times New Roman"/>
          <w:sz w:val="24"/>
          <w:szCs w:val="24"/>
        </w:rPr>
        <w:t>How was the AAA able to use the</w:t>
      </w:r>
      <w:r w:rsidR="00D225FC">
        <w:rPr>
          <w:rStyle w:val="Strong"/>
          <w:rFonts w:ascii="Times New Roman" w:hAnsi="Times New Roman" w:cs="Times New Roman"/>
          <w:sz w:val="24"/>
          <w:szCs w:val="24"/>
        </w:rPr>
        <w:t xml:space="preserve"> current and previous</w:t>
      </w:r>
      <w:r w:rsidRPr="0003190E">
        <w:rPr>
          <w:rStyle w:val="Strong"/>
          <w:rFonts w:ascii="Times New Roman" w:hAnsi="Times New Roman" w:cs="Times New Roman"/>
          <w:sz w:val="24"/>
          <w:szCs w:val="24"/>
        </w:rPr>
        <w:t xml:space="preserve"> stimulus funding to respond to community needs?</w:t>
      </w:r>
    </w:p>
    <w:p w14:paraId="76DE2E6D" w14:textId="71D2CC69" w:rsidR="00FA7B4B" w:rsidRPr="00FA7B4B" w:rsidRDefault="00EE792E" w:rsidP="00FA7B4B">
      <w:pPr>
        <w:pStyle w:val="ListParagrap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East Central AAA </w:t>
      </w:r>
      <w:r w:rsidR="00D225FC">
        <w:rPr>
          <w:rStyle w:val="Strong"/>
          <w:rFonts w:ascii="Times New Roman" w:hAnsi="Times New Roman" w:cs="Times New Roman"/>
          <w:b w:val="0"/>
          <w:bCs w:val="0"/>
          <w:sz w:val="24"/>
          <w:szCs w:val="24"/>
        </w:rPr>
        <w:t>used the flexible stimulus funding to</w:t>
      </w:r>
      <w:r w:rsidR="008F31C5">
        <w:rPr>
          <w:rStyle w:val="Strong"/>
          <w:rFonts w:ascii="Times New Roman" w:hAnsi="Times New Roman" w:cs="Times New Roman"/>
          <w:b w:val="0"/>
          <w:bCs w:val="0"/>
          <w:sz w:val="24"/>
          <w:szCs w:val="24"/>
        </w:rPr>
        <w:t xml:space="preserve"> supply all</w:t>
      </w:r>
      <w:r w:rsidR="00911EB4">
        <w:rPr>
          <w:rStyle w:val="Strong"/>
          <w:rFonts w:ascii="Times New Roman" w:hAnsi="Times New Roman" w:cs="Times New Roman"/>
          <w:b w:val="0"/>
          <w:bCs w:val="0"/>
          <w:sz w:val="24"/>
          <w:szCs w:val="24"/>
        </w:rPr>
        <w:t xml:space="preserve"> home-delivered meal</w:t>
      </w:r>
      <w:r w:rsidR="004719BC">
        <w:rPr>
          <w:rStyle w:val="Strong"/>
          <w:rFonts w:ascii="Times New Roman" w:hAnsi="Times New Roman" w:cs="Times New Roman"/>
          <w:b w:val="0"/>
          <w:bCs w:val="0"/>
          <w:sz w:val="24"/>
          <w:szCs w:val="24"/>
        </w:rPr>
        <w:t>s</w:t>
      </w:r>
      <w:r w:rsidR="00911EB4">
        <w:rPr>
          <w:rStyle w:val="Strong"/>
          <w:rFonts w:ascii="Times New Roman" w:hAnsi="Times New Roman" w:cs="Times New Roman"/>
          <w:b w:val="0"/>
          <w:bCs w:val="0"/>
          <w:sz w:val="24"/>
          <w:szCs w:val="24"/>
        </w:rPr>
        <w:t xml:space="preserve"> (HDM</w:t>
      </w:r>
      <w:r w:rsidR="004719BC">
        <w:rPr>
          <w:rStyle w:val="Strong"/>
          <w:rFonts w:ascii="Times New Roman" w:hAnsi="Times New Roman" w:cs="Times New Roman"/>
          <w:b w:val="0"/>
          <w:bCs w:val="0"/>
          <w:sz w:val="24"/>
          <w:szCs w:val="24"/>
        </w:rPr>
        <w:t>s</w:t>
      </w:r>
      <w:r w:rsidR="00911EB4">
        <w:rPr>
          <w:rStyle w:val="Strong"/>
          <w:rFonts w:ascii="Times New Roman" w:hAnsi="Times New Roman" w:cs="Times New Roman"/>
          <w:b w:val="0"/>
          <w:bCs w:val="0"/>
          <w:sz w:val="24"/>
          <w:szCs w:val="24"/>
        </w:rPr>
        <w:t xml:space="preserve">) </w:t>
      </w:r>
      <w:r w:rsidR="004719BC">
        <w:rPr>
          <w:rStyle w:val="Strong"/>
          <w:rFonts w:ascii="Times New Roman" w:hAnsi="Times New Roman" w:cs="Times New Roman"/>
          <w:b w:val="0"/>
          <w:bCs w:val="0"/>
          <w:sz w:val="24"/>
          <w:szCs w:val="24"/>
        </w:rPr>
        <w:t xml:space="preserve">with </w:t>
      </w:r>
      <w:r w:rsidR="00911EB4">
        <w:rPr>
          <w:rStyle w:val="Strong"/>
          <w:rFonts w:ascii="Times New Roman" w:hAnsi="Times New Roman" w:cs="Times New Roman"/>
          <w:b w:val="0"/>
          <w:bCs w:val="0"/>
          <w:sz w:val="24"/>
          <w:szCs w:val="24"/>
        </w:rPr>
        <w:t xml:space="preserve">goods like </w:t>
      </w:r>
      <w:r w:rsidR="007F6207">
        <w:rPr>
          <w:rStyle w:val="Strong"/>
          <w:rFonts w:ascii="Times New Roman" w:hAnsi="Times New Roman" w:cs="Times New Roman"/>
          <w:b w:val="0"/>
          <w:bCs w:val="0"/>
          <w:sz w:val="24"/>
          <w:szCs w:val="24"/>
        </w:rPr>
        <w:t xml:space="preserve">plastic bags, </w:t>
      </w:r>
      <w:r w:rsidR="00911EB4">
        <w:rPr>
          <w:rStyle w:val="Strong"/>
          <w:rFonts w:ascii="Times New Roman" w:hAnsi="Times New Roman" w:cs="Times New Roman"/>
          <w:b w:val="0"/>
          <w:bCs w:val="0"/>
          <w:sz w:val="24"/>
          <w:szCs w:val="24"/>
        </w:rPr>
        <w:t>to-go contain</w:t>
      </w:r>
      <w:r w:rsidR="006D6A2D">
        <w:rPr>
          <w:rStyle w:val="Strong"/>
          <w:rFonts w:ascii="Times New Roman" w:hAnsi="Times New Roman" w:cs="Times New Roman"/>
          <w:b w:val="0"/>
          <w:bCs w:val="0"/>
          <w:sz w:val="24"/>
          <w:szCs w:val="24"/>
        </w:rPr>
        <w:t>er</w:t>
      </w:r>
      <w:r w:rsidR="00911EB4">
        <w:rPr>
          <w:rStyle w:val="Strong"/>
          <w:rFonts w:ascii="Times New Roman" w:hAnsi="Times New Roman" w:cs="Times New Roman"/>
          <w:b w:val="0"/>
          <w:bCs w:val="0"/>
          <w:sz w:val="24"/>
          <w:szCs w:val="24"/>
        </w:rPr>
        <w:t>s</w:t>
      </w:r>
      <w:r w:rsidR="00117F98">
        <w:rPr>
          <w:rStyle w:val="Strong"/>
          <w:rFonts w:ascii="Times New Roman" w:hAnsi="Times New Roman" w:cs="Times New Roman"/>
          <w:b w:val="0"/>
          <w:bCs w:val="0"/>
          <w:sz w:val="24"/>
          <w:szCs w:val="24"/>
        </w:rPr>
        <w:t>, gloves, masks, hand sanitize</w:t>
      </w:r>
      <w:r w:rsidR="0037735B">
        <w:rPr>
          <w:rStyle w:val="Strong"/>
          <w:rFonts w:ascii="Times New Roman" w:hAnsi="Times New Roman" w:cs="Times New Roman"/>
          <w:b w:val="0"/>
          <w:bCs w:val="0"/>
          <w:sz w:val="24"/>
          <w:szCs w:val="24"/>
        </w:rPr>
        <w:t xml:space="preserve">r, </w:t>
      </w:r>
      <w:r w:rsidR="007F6207">
        <w:rPr>
          <w:rStyle w:val="Strong"/>
          <w:rFonts w:ascii="Times New Roman" w:hAnsi="Times New Roman" w:cs="Times New Roman"/>
          <w:b w:val="0"/>
          <w:bCs w:val="0"/>
          <w:sz w:val="24"/>
          <w:szCs w:val="24"/>
        </w:rPr>
        <w:t xml:space="preserve">and </w:t>
      </w:r>
      <w:r w:rsidR="0037735B">
        <w:rPr>
          <w:rStyle w:val="Strong"/>
          <w:rFonts w:ascii="Times New Roman" w:hAnsi="Times New Roman" w:cs="Times New Roman"/>
          <w:b w:val="0"/>
          <w:bCs w:val="0"/>
          <w:sz w:val="24"/>
          <w:szCs w:val="24"/>
        </w:rPr>
        <w:t>thermometers</w:t>
      </w:r>
      <w:r w:rsidR="007F6207">
        <w:rPr>
          <w:rStyle w:val="Strong"/>
          <w:rFonts w:ascii="Times New Roman" w:hAnsi="Times New Roman" w:cs="Times New Roman"/>
          <w:b w:val="0"/>
          <w:bCs w:val="0"/>
          <w:sz w:val="24"/>
          <w:szCs w:val="24"/>
        </w:rPr>
        <w:t>.</w:t>
      </w:r>
      <w:r w:rsidR="008E1B61">
        <w:rPr>
          <w:rStyle w:val="Strong"/>
          <w:rFonts w:ascii="Times New Roman" w:hAnsi="Times New Roman" w:cs="Times New Roman"/>
          <w:b w:val="0"/>
          <w:bCs w:val="0"/>
          <w:sz w:val="24"/>
          <w:szCs w:val="24"/>
        </w:rPr>
        <w:t xml:space="preserve"> ECCOG also was able to maintain all staff </w:t>
      </w:r>
      <w:r w:rsidR="00B2736D">
        <w:rPr>
          <w:rStyle w:val="Strong"/>
          <w:rFonts w:ascii="Times New Roman" w:hAnsi="Times New Roman" w:cs="Times New Roman"/>
          <w:b w:val="0"/>
          <w:bCs w:val="0"/>
          <w:sz w:val="24"/>
          <w:szCs w:val="24"/>
        </w:rPr>
        <w:t>through wage increases, sick pay</w:t>
      </w:r>
      <w:r w:rsidR="009938D7">
        <w:rPr>
          <w:rStyle w:val="Strong"/>
          <w:rFonts w:ascii="Times New Roman" w:hAnsi="Times New Roman" w:cs="Times New Roman"/>
          <w:b w:val="0"/>
          <w:bCs w:val="0"/>
          <w:sz w:val="24"/>
          <w:szCs w:val="24"/>
        </w:rPr>
        <w:t xml:space="preserve"> and being empathetic and compassionate. </w:t>
      </w:r>
      <w:r w:rsidR="004719BC">
        <w:rPr>
          <w:rStyle w:val="Strong"/>
          <w:rFonts w:ascii="Times New Roman" w:hAnsi="Times New Roman" w:cs="Times New Roman"/>
          <w:b w:val="0"/>
          <w:bCs w:val="0"/>
          <w:sz w:val="24"/>
          <w:szCs w:val="24"/>
        </w:rPr>
        <w:t xml:space="preserve"> </w:t>
      </w:r>
    </w:p>
    <w:p w14:paraId="53D923C0" w14:textId="77777777" w:rsidR="00501DC6" w:rsidRDefault="00841C48" w:rsidP="00501DC6">
      <w:pPr>
        <w:pStyle w:val="ListParagraph"/>
        <w:numPr>
          <w:ilvl w:val="0"/>
          <w:numId w:val="2"/>
        </w:numPr>
        <w:rPr>
          <w:rStyle w:val="Strong"/>
          <w:rFonts w:ascii="Times New Roman" w:hAnsi="Times New Roman" w:cs="Times New Roman"/>
          <w:sz w:val="24"/>
          <w:szCs w:val="24"/>
        </w:rPr>
      </w:pPr>
      <w:r w:rsidRPr="0003190E">
        <w:rPr>
          <w:rStyle w:val="Strong"/>
          <w:rFonts w:ascii="Times New Roman" w:hAnsi="Times New Roman" w:cs="Times New Roman"/>
          <w:sz w:val="24"/>
          <w:szCs w:val="24"/>
        </w:rPr>
        <w:t xml:space="preserve">Are there any services and/or service </w:t>
      </w:r>
      <w:r w:rsidR="00CF5330" w:rsidRPr="0003190E">
        <w:rPr>
          <w:rStyle w:val="Strong"/>
          <w:rFonts w:ascii="Times New Roman" w:hAnsi="Times New Roman" w:cs="Times New Roman"/>
          <w:sz w:val="24"/>
          <w:szCs w:val="24"/>
        </w:rPr>
        <w:t xml:space="preserve">locations that have been permanently stopped or closed </w:t>
      </w:r>
      <w:proofErr w:type="gramStart"/>
      <w:r w:rsidR="00CF5330" w:rsidRPr="0003190E">
        <w:rPr>
          <w:rStyle w:val="Strong"/>
          <w:rFonts w:ascii="Times New Roman" w:hAnsi="Times New Roman" w:cs="Times New Roman"/>
          <w:sz w:val="24"/>
          <w:szCs w:val="24"/>
        </w:rPr>
        <w:t>as a result of</w:t>
      </w:r>
      <w:proofErr w:type="gramEnd"/>
      <w:r w:rsidR="00CF5330" w:rsidRPr="0003190E">
        <w:rPr>
          <w:rStyle w:val="Strong"/>
          <w:rFonts w:ascii="Times New Roman" w:hAnsi="Times New Roman" w:cs="Times New Roman"/>
          <w:sz w:val="24"/>
          <w:szCs w:val="24"/>
        </w:rPr>
        <w:t xml:space="preserve"> the pandemic?</w:t>
      </w:r>
    </w:p>
    <w:p w14:paraId="60BF155C" w14:textId="369274A5" w:rsidR="00EA779D" w:rsidRDefault="00CF5330" w:rsidP="005F3B9C">
      <w:pPr>
        <w:pStyle w:val="ListParagraph"/>
        <w:rPr>
          <w:rStyle w:val="Strong"/>
        </w:rPr>
      </w:pPr>
      <w:r w:rsidRPr="00501DC6">
        <w:rPr>
          <w:rStyle w:val="Strong"/>
          <w:rFonts w:ascii="Times New Roman" w:hAnsi="Times New Roman" w:cs="Times New Roman"/>
          <w:b w:val="0"/>
          <w:bCs w:val="0"/>
          <w:sz w:val="24"/>
          <w:szCs w:val="24"/>
        </w:rPr>
        <w:lastRenderedPageBreak/>
        <w:t>N</w:t>
      </w:r>
      <w:r w:rsidR="00501DC6" w:rsidRPr="00501DC6">
        <w:rPr>
          <w:rStyle w:val="Strong"/>
          <w:rFonts w:ascii="Times New Roman" w:hAnsi="Times New Roman" w:cs="Times New Roman"/>
          <w:b w:val="0"/>
          <w:bCs w:val="0"/>
          <w:sz w:val="24"/>
          <w:szCs w:val="24"/>
        </w:rPr>
        <w:t>o</w:t>
      </w:r>
      <w:r w:rsidRPr="00501DC6">
        <w:rPr>
          <w:rStyle w:val="Strong"/>
          <w:rFonts w:ascii="Times New Roman" w:hAnsi="Times New Roman" w:cs="Times New Roman"/>
          <w:b w:val="0"/>
          <w:bCs w:val="0"/>
          <w:sz w:val="24"/>
          <w:szCs w:val="24"/>
        </w:rPr>
        <w:t xml:space="preserve">, </w:t>
      </w:r>
      <w:r w:rsidR="00501DC6" w:rsidRPr="00501DC6">
        <w:rPr>
          <w:rStyle w:val="Strong"/>
          <w:rFonts w:ascii="Times New Roman" w:hAnsi="Times New Roman" w:cs="Times New Roman"/>
          <w:b w:val="0"/>
          <w:bCs w:val="0"/>
          <w:sz w:val="24"/>
          <w:szCs w:val="24"/>
        </w:rPr>
        <w:t>ECCOG</w:t>
      </w:r>
      <w:r w:rsidR="008F6749" w:rsidRPr="00501DC6">
        <w:rPr>
          <w:rStyle w:val="Strong"/>
          <w:rFonts w:ascii="Times New Roman" w:hAnsi="Times New Roman" w:cs="Times New Roman"/>
          <w:b w:val="0"/>
          <w:bCs w:val="0"/>
          <w:sz w:val="24"/>
          <w:szCs w:val="24"/>
        </w:rPr>
        <w:t xml:space="preserve"> managed to</w:t>
      </w:r>
      <w:r w:rsidR="003065B4">
        <w:rPr>
          <w:rStyle w:val="Strong"/>
          <w:rFonts w:ascii="Times New Roman" w:hAnsi="Times New Roman" w:cs="Times New Roman"/>
          <w:b w:val="0"/>
          <w:bCs w:val="0"/>
          <w:sz w:val="24"/>
          <w:szCs w:val="24"/>
        </w:rPr>
        <w:t xml:space="preserve"> </w:t>
      </w:r>
      <w:proofErr w:type="gramStart"/>
      <w:r w:rsidR="003065B4">
        <w:rPr>
          <w:rStyle w:val="Strong"/>
          <w:rFonts w:ascii="Times New Roman" w:hAnsi="Times New Roman" w:cs="Times New Roman"/>
          <w:b w:val="0"/>
          <w:bCs w:val="0"/>
          <w:sz w:val="24"/>
          <w:szCs w:val="24"/>
        </w:rPr>
        <w:t>actually</w:t>
      </w:r>
      <w:r w:rsidR="008F6749" w:rsidRPr="00501DC6">
        <w:rPr>
          <w:rStyle w:val="Strong"/>
          <w:rFonts w:ascii="Times New Roman" w:hAnsi="Times New Roman" w:cs="Times New Roman"/>
          <w:b w:val="0"/>
          <w:bCs w:val="0"/>
          <w:sz w:val="24"/>
          <w:szCs w:val="24"/>
        </w:rPr>
        <w:t xml:space="preserve"> increase</w:t>
      </w:r>
      <w:proofErr w:type="gramEnd"/>
      <w:r w:rsidR="008F6749" w:rsidRPr="00501DC6">
        <w:rPr>
          <w:rStyle w:val="Strong"/>
          <w:rFonts w:ascii="Times New Roman" w:hAnsi="Times New Roman" w:cs="Times New Roman"/>
          <w:b w:val="0"/>
          <w:bCs w:val="0"/>
          <w:sz w:val="24"/>
          <w:szCs w:val="24"/>
        </w:rPr>
        <w:t xml:space="preserve"> available meal site</w:t>
      </w:r>
      <w:r w:rsidR="003065B4">
        <w:rPr>
          <w:rStyle w:val="Strong"/>
          <w:rFonts w:ascii="Times New Roman" w:hAnsi="Times New Roman" w:cs="Times New Roman"/>
          <w:b w:val="0"/>
          <w:bCs w:val="0"/>
          <w:sz w:val="24"/>
          <w:szCs w:val="24"/>
        </w:rPr>
        <w:t>s</w:t>
      </w:r>
      <w:r w:rsidR="008F6749" w:rsidRPr="00501DC6">
        <w:rPr>
          <w:rStyle w:val="Strong"/>
          <w:rFonts w:ascii="Times New Roman" w:hAnsi="Times New Roman" w:cs="Times New Roman"/>
          <w:b w:val="0"/>
          <w:bCs w:val="0"/>
          <w:sz w:val="24"/>
          <w:szCs w:val="24"/>
        </w:rPr>
        <w:t xml:space="preserve"> by opening a remote s</w:t>
      </w:r>
      <w:r w:rsidR="00216ACF">
        <w:rPr>
          <w:rStyle w:val="Strong"/>
          <w:rFonts w:ascii="Times New Roman" w:hAnsi="Times New Roman" w:cs="Times New Roman"/>
          <w:b w:val="0"/>
          <w:bCs w:val="0"/>
          <w:sz w:val="24"/>
          <w:szCs w:val="24"/>
        </w:rPr>
        <w:t>it</w:t>
      </w:r>
      <w:r w:rsidR="008F6749" w:rsidRPr="00501DC6">
        <w:rPr>
          <w:rStyle w:val="Strong"/>
          <w:rFonts w:ascii="Times New Roman" w:hAnsi="Times New Roman" w:cs="Times New Roman"/>
          <w:b w:val="0"/>
          <w:bCs w:val="0"/>
          <w:sz w:val="24"/>
          <w:szCs w:val="24"/>
        </w:rPr>
        <w:t>e in Elizabeth</w:t>
      </w:r>
      <w:r w:rsidR="00501DC6" w:rsidRPr="00501DC6">
        <w:rPr>
          <w:rStyle w:val="Strong"/>
          <w:rFonts w:ascii="Times New Roman" w:hAnsi="Times New Roman" w:cs="Times New Roman"/>
          <w:b w:val="0"/>
          <w:bCs w:val="0"/>
          <w:sz w:val="24"/>
          <w:szCs w:val="24"/>
        </w:rPr>
        <w:t>.</w:t>
      </w:r>
      <w:r w:rsidR="003065B4">
        <w:rPr>
          <w:rStyle w:val="Strong"/>
          <w:rFonts w:ascii="Times New Roman" w:hAnsi="Times New Roman" w:cs="Times New Roman"/>
          <w:b w:val="0"/>
          <w:bCs w:val="0"/>
          <w:sz w:val="24"/>
          <w:szCs w:val="24"/>
        </w:rPr>
        <w:t xml:space="preserve"> Also, through SB</w:t>
      </w:r>
      <w:r w:rsidR="007766C1">
        <w:rPr>
          <w:rStyle w:val="Strong"/>
          <w:rFonts w:ascii="Times New Roman" w:hAnsi="Times New Roman" w:cs="Times New Roman"/>
          <w:b w:val="0"/>
          <w:bCs w:val="0"/>
          <w:sz w:val="24"/>
          <w:szCs w:val="24"/>
        </w:rPr>
        <w:t xml:space="preserve">21-290 renovations within in a previous remote site will lead to a new </w:t>
      </w:r>
      <w:r w:rsidR="00286DC7">
        <w:rPr>
          <w:rStyle w:val="Strong"/>
          <w:rFonts w:ascii="Times New Roman" w:hAnsi="Times New Roman" w:cs="Times New Roman"/>
          <w:b w:val="0"/>
          <w:bCs w:val="0"/>
          <w:sz w:val="24"/>
          <w:szCs w:val="24"/>
        </w:rPr>
        <w:t>kitchen being created in a food desert</w:t>
      </w:r>
      <w:r w:rsidR="0092750B">
        <w:rPr>
          <w:rStyle w:val="Strong"/>
          <w:rFonts w:ascii="Times New Roman" w:hAnsi="Times New Roman" w:cs="Times New Roman"/>
          <w:b w:val="0"/>
          <w:bCs w:val="0"/>
          <w:sz w:val="24"/>
          <w:szCs w:val="24"/>
        </w:rPr>
        <w:t xml:space="preserve"> (Kit Carson).</w:t>
      </w:r>
      <w:r w:rsidR="00EA779D">
        <w:rPr>
          <w:rStyle w:val="Strong"/>
        </w:rPr>
        <w:br w:type="page"/>
      </w:r>
    </w:p>
    <w:p w14:paraId="1C4AA6D5" w14:textId="172CE0AE" w:rsidR="00EA779D" w:rsidRPr="00A6669C" w:rsidRDefault="00EA779D" w:rsidP="00EA779D">
      <w:pPr>
        <w:pStyle w:val="Heading1"/>
        <w:rPr>
          <w:rStyle w:val="Strong"/>
          <w:rFonts w:ascii="Times New Roman" w:hAnsi="Times New Roman" w:cs="Times New Roman"/>
          <w:b w:val="0"/>
        </w:rPr>
      </w:pPr>
      <w:bookmarkStart w:id="8" w:name="_Toc130291150"/>
      <w:r w:rsidRPr="00A6669C">
        <w:rPr>
          <w:rStyle w:val="Strong"/>
          <w:rFonts w:ascii="Times New Roman" w:hAnsi="Times New Roman" w:cs="Times New Roman"/>
          <w:b w:val="0"/>
        </w:rPr>
        <w:lastRenderedPageBreak/>
        <w:t>Section VI</w:t>
      </w:r>
      <w:r w:rsidR="005E4FFF" w:rsidRPr="00A6669C">
        <w:rPr>
          <w:rStyle w:val="Strong"/>
          <w:rFonts w:ascii="Times New Roman" w:hAnsi="Times New Roman" w:cs="Times New Roman"/>
          <w:b w:val="0"/>
        </w:rPr>
        <w:t xml:space="preserve">I: </w:t>
      </w:r>
      <w:r w:rsidR="008416A6" w:rsidRPr="00A6669C">
        <w:rPr>
          <w:rStyle w:val="Strong"/>
          <w:rFonts w:ascii="Times New Roman" w:hAnsi="Times New Roman" w:cs="Times New Roman"/>
          <w:b w:val="0"/>
        </w:rPr>
        <w:t>Equity</w:t>
      </w:r>
      <w:bookmarkEnd w:id="8"/>
    </w:p>
    <w:p w14:paraId="55718DEA" w14:textId="77777777" w:rsidR="00B57C9F" w:rsidRDefault="00B57C9F" w:rsidP="00150AA0">
      <w:pPr>
        <w:rPr>
          <w:rStyle w:val="Strong"/>
          <w:rFonts w:ascii="Times New Roman" w:hAnsi="Times New Roman" w:cs="Times New Roman"/>
          <w:b w:val="0"/>
          <w:bCs w:val="0"/>
          <w:sz w:val="24"/>
          <w:szCs w:val="24"/>
        </w:rPr>
      </w:pPr>
    </w:p>
    <w:p w14:paraId="521D6C6E" w14:textId="21E125BD" w:rsidR="001430DB" w:rsidRDefault="000C36B2" w:rsidP="00B57C9F">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ECCOG is working </w:t>
      </w:r>
      <w:r w:rsidR="0092750B">
        <w:rPr>
          <w:rStyle w:val="Strong"/>
          <w:rFonts w:ascii="Times New Roman" w:hAnsi="Times New Roman" w:cs="Times New Roman"/>
          <w:b w:val="0"/>
          <w:bCs w:val="0"/>
          <w:sz w:val="24"/>
          <w:szCs w:val="24"/>
        </w:rPr>
        <w:t>on</w:t>
      </w:r>
      <w:r>
        <w:rPr>
          <w:rStyle w:val="Strong"/>
          <w:rFonts w:ascii="Times New Roman" w:hAnsi="Times New Roman" w:cs="Times New Roman"/>
          <w:b w:val="0"/>
          <w:bCs w:val="0"/>
          <w:sz w:val="24"/>
          <w:szCs w:val="24"/>
        </w:rPr>
        <w:t xml:space="preserve"> a contractual agreement with a bilingual individual</w:t>
      </w:r>
      <w:r w:rsidR="00FC2F51">
        <w:rPr>
          <w:rStyle w:val="Strong"/>
          <w:rFonts w:ascii="Times New Roman" w:hAnsi="Times New Roman" w:cs="Times New Roman"/>
          <w:b w:val="0"/>
          <w:bCs w:val="0"/>
          <w:sz w:val="24"/>
          <w:szCs w:val="24"/>
        </w:rPr>
        <w:t xml:space="preserve"> who will assist in better reaching the Hispanic populations. This contractor will also help ECCOG translate </w:t>
      </w:r>
      <w:r w:rsidR="0020161C">
        <w:rPr>
          <w:rStyle w:val="Strong"/>
          <w:rFonts w:ascii="Times New Roman" w:hAnsi="Times New Roman" w:cs="Times New Roman"/>
          <w:b w:val="0"/>
          <w:bCs w:val="0"/>
          <w:sz w:val="24"/>
          <w:szCs w:val="24"/>
        </w:rPr>
        <w:t xml:space="preserve">existing print materials into Spanish versions so they can better reach those </w:t>
      </w:r>
      <w:r w:rsidR="00F43244">
        <w:rPr>
          <w:rStyle w:val="Strong"/>
          <w:rFonts w:ascii="Times New Roman" w:hAnsi="Times New Roman" w:cs="Times New Roman"/>
          <w:b w:val="0"/>
          <w:bCs w:val="0"/>
          <w:sz w:val="24"/>
          <w:szCs w:val="24"/>
        </w:rPr>
        <w:t xml:space="preserve">community members. Through future outreach events and </w:t>
      </w:r>
      <w:r w:rsidR="0001271B">
        <w:rPr>
          <w:rStyle w:val="Strong"/>
          <w:rFonts w:ascii="Times New Roman" w:hAnsi="Times New Roman" w:cs="Times New Roman"/>
          <w:b w:val="0"/>
          <w:bCs w:val="0"/>
          <w:sz w:val="24"/>
          <w:szCs w:val="24"/>
        </w:rPr>
        <w:t>a connection with the Fresh Conversation</w:t>
      </w:r>
      <w:r w:rsidR="00E67E55">
        <w:rPr>
          <w:rStyle w:val="Strong"/>
          <w:rFonts w:ascii="Times New Roman" w:hAnsi="Times New Roman" w:cs="Times New Roman"/>
          <w:b w:val="0"/>
          <w:bCs w:val="0"/>
          <w:sz w:val="24"/>
          <w:szCs w:val="24"/>
        </w:rPr>
        <w:t>s and Text 2 Live Healthy</w:t>
      </w:r>
      <w:r w:rsidR="00FB0AD9">
        <w:rPr>
          <w:rStyle w:val="Strong"/>
          <w:rFonts w:ascii="Times New Roman" w:hAnsi="Times New Roman" w:cs="Times New Roman"/>
          <w:b w:val="0"/>
          <w:bCs w:val="0"/>
          <w:sz w:val="24"/>
          <w:szCs w:val="24"/>
        </w:rPr>
        <w:t xml:space="preserve"> (T2LH)</w:t>
      </w:r>
      <w:r w:rsidR="00E67E55">
        <w:rPr>
          <w:rStyle w:val="Strong"/>
          <w:rFonts w:ascii="Times New Roman" w:hAnsi="Times New Roman" w:cs="Times New Roman"/>
          <w:b w:val="0"/>
          <w:bCs w:val="0"/>
          <w:sz w:val="24"/>
          <w:szCs w:val="24"/>
        </w:rPr>
        <w:t xml:space="preserve"> initiatives ECCOG will be able to</w:t>
      </w:r>
      <w:r w:rsidR="002A2970">
        <w:rPr>
          <w:rStyle w:val="Strong"/>
          <w:rFonts w:ascii="Times New Roman" w:hAnsi="Times New Roman" w:cs="Times New Roman"/>
          <w:b w:val="0"/>
          <w:bCs w:val="0"/>
          <w:sz w:val="24"/>
          <w:szCs w:val="24"/>
        </w:rPr>
        <w:t xml:space="preserve"> reach even further into minority populations. </w:t>
      </w:r>
      <w:r w:rsidR="009F4464">
        <w:rPr>
          <w:rStyle w:val="Strong"/>
          <w:rFonts w:ascii="Times New Roman" w:hAnsi="Times New Roman" w:cs="Times New Roman"/>
          <w:b w:val="0"/>
          <w:bCs w:val="0"/>
          <w:sz w:val="24"/>
          <w:szCs w:val="24"/>
        </w:rPr>
        <w:t>Through monitoring of new clients</w:t>
      </w:r>
      <w:r w:rsidR="00102495">
        <w:rPr>
          <w:rStyle w:val="Strong"/>
          <w:rFonts w:ascii="Times New Roman" w:hAnsi="Times New Roman" w:cs="Times New Roman"/>
          <w:b w:val="0"/>
          <w:bCs w:val="0"/>
          <w:sz w:val="24"/>
          <w:szCs w:val="24"/>
        </w:rPr>
        <w:t xml:space="preserve"> in SUDS</w:t>
      </w:r>
      <w:r w:rsidR="003F050E">
        <w:rPr>
          <w:rStyle w:val="Strong"/>
          <w:rFonts w:ascii="Times New Roman" w:hAnsi="Times New Roman" w:cs="Times New Roman"/>
          <w:b w:val="0"/>
          <w:bCs w:val="0"/>
          <w:sz w:val="24"/>
          <w:szCs w:val="24"/>
        </w:rPr>
        <w:t>,</w:t>
      </w:r>
      <w:r w:rsidR="00DB0C40">
        <w:rPr>
          <w:rStyle w:val="Strong"/>
          <w:rFonts w:ascii="Times New Roman" w:hAnsi="Times New Roman" w:cs="Times New Roman"/>
          <w:b w:val="0"/>
          <w:bCs w:val="0"/>
          <w:sz w:val="24"/>
          <w:szCs w:val="24"/>
        </w:rPr>
        <w:t xml:space="preserve"> </w:t>
      </w:r>
      <w:r w:rsidR="009F4464">
        <w:rPr>
          <w:rStyle w:val="Strong"/>
          <w:rFonts w:ascii="Times New Roman" w:hAnsi="Times New Roman" w:cs="Times New Roman"/>
          <w:b w:val="0"/>
          <w:bCs w:val="0"/>
          <w:sz w:val="24"/>
          <w:szCs w:val="24"/>
        </w:rPr>
        <w:t xml:space="preserve">within minority </w:t>
      </w:r>
      <w:r w:rsidR="00696949">
        <w:rPr>
          <w:rStyle w:val="Strong"/>
          <w:rFonts w:ascii="Times New Roman" w:hAnsi="Times New Roman" w:cs="Times New Roman"/>
          <w:b w:val="0"/>
          <w:bCs w:val="0"/>
          <w:sz w:val="24"/>
          <w:szCs w:val="24"/>
        </w:rPr>
        <w:t xml:space="preserve">designations ECCOG </w:t>
      </w:r>
      <w:r w:rsidR="00DB0C40">
        <w:rPr>
          <w:rStyle w:val="Strong"/>
          <w:rFonts w:ascii="Times New Roman" w:hAnsi="Times New Roman" w:cs="Times New Roman"/>
          <w:b w:val="0"/>
          <w:bCs w:val="0"/>
          <w:sz w:val="24"/>
          <w:szCs w:val="24"/>
        </w:rPr>
        <w:t xml:space="preserve">will </w:t>
      </w:r>
      <w:r w:rsidR="00FC1485">
        <w:rPr>
          <w:rStyle w:val="Strong"/>
          <w:rFonts w:ascii="Times New Roman" w:hAnsi="Times New Roman" w:cs="Times New Roman"/>
          <w:b w:val="0"/>
          <w:bCs w:val="0"/>
          <w:sz w:val="24"/>
          <w:szCs w:val="24"/>
        </w:rPr>
        <w:t>be able to identify the effectiveness of the new outreach</w:t>
      </w:r>
      <w:r w:rsidR="00B73BE1">
        <w:rPr>
          <w:rStyle w:val="Strong"/>
          <w:rFonts w:ascii="Times New Roman" w:hAnsi="Times New Roman" w:cs="Times New Roman"/>
          <w:b w:val="0"/>
          <w:bCs w:val="0"/>
          <w:sz w:val="24"/>
          <w:szCs w:val="24"/>
        </w:rPr>
        <w:t xml:space="preserve">. </w:t>
      </w:r>
    </w:p>
    <w:p w14:paraId="082A584A" w14:textId="147990A5" w:rsidR="00D72A10" w:rsidRPr="00545AAF" w:rsidRDefault="00D72A10" w:rsidP="00B57C9F">
      <w:p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Senior Service Coordinators </w:t>
      </w:r>
      <w:r w:rsidR="00E515E6">
        <w:rPr>
          <w:rStyle w:val="Strong"/>
          <w:rFonts w:ascii="Times New Roman" w:hAnsi="Times New Roman" w:cs="Times New Roman"/>
          <w:b w:val="0"/>
          <w:bCs w:val="0"/>
          <w:sz w:val="24"/>
          <w:szCs w:val="24"/>
        </w:rPr>
        <w:t>are reinvigorat</w:t>
      </w:r>
      <w:r w:rsidR="00FD64FD">
        <w:rPr>
          <w:rStyle w:val="Strong"/>
          <w:rFonts w:ascii="Times New Roman" w:hAnsi="Times New Roman" w:cs="Times New Roman"/>
          <w:b w:val="0"/>
          <w:bCs w:val="0"/>
          <w:sz w:val="24"/>
          <w:szCs w:val="24"/>
        </w:rPr>
        <w:t>ing social</w:t>
      </w:r>
      <w:r w:rsidR="00E515E6">
        <w:rPr>
          <w:rStyle w:val="Strong"/>
          <w:rFonts w:ascii="Times New Roman" w:hAnsi="Times New Roman" w:cs="Times New Roman"/>
          <w:b w:val="0"/>
          <w:bCs w:val="0"/>
          <w:sz w:val="24"/>
          <w:szCs w:val="24"/>
        </w:rPr>
        <w:t xml:space="preserve"> </w:t>
      </w:r>
      <w:r w:rsidR="001F5B22">
        <w:rPr>
          <w:rStyle w:val="Strong"/>
          <w:rFonts w:ascii="Times New Roman" w:hAnsi="Times New Roman" w:cs="Times New Roman"/>
          <w:b w:val="0"/>
          <w:bCs w:val="0"/>
          <w:sz w:val="24"/>
          <w:szCs w:val="24"/>
        </w:rPr>
        <w:t xml:space="preserve">activities and events that interest their local older adults </w:t>
      </w:r>
      <w:r w:rsidR="006A0356">
        <w:rPr>
          <w:rStyle w:val="Strong"/>
          <w:rFonts w:ascii="Times New Roman" w:hAnsi="Times New Roman" w:cs="Times New Roman"/>
          <w:b w:val="0"/>
          <w:bCs w:val="0"/>
          <w:sz w:val="24"/>
          <w:szCs w:val="24"/>
        </w:rPr>
        <w:t>to</w:t>
      </w:r>
      <w:r w:rsidR="001F5B22">
        <w:rPr>
          <w:rStyle w:val="Strong"/>
          <w:rFonts w:ascii="Times New Roman" w:hAnsi="Times New Roman" w:cs="Times New Roman"/>
          <w:b w:val="0"/>
          <w:bCs w:val="0"/>
          <w:sz w:val="24"/>
          <w:szCs w:val="24"/>
        </w:rPr>
        <w:t xml:space="preserve"> provide </w:t>
      </w:r>
      <w:r w:rsidR="00FD64FD">
        <w:rPr>
          <w:rStyle w:val="Strong"/>
          <w:rFonts w:ascii="Times New Roman" w:hAnsi="Times New Roman" w:cs="Times New Roman"/>
          <w:b w:val="0"/>
          <w:bCs w:val="0"/>
          <w:sz w:val="24"/>
          <w:szCs w:val="24"/>
        </w:rPr>
        <w:t xml:space="preserve">a more diverse and inclusive </w:t>
      </w:r>
      <w:r w:rsidR="00D10C2F">
        <w:rPr>
          <w:rStyle w:val="Strong"/>
          <w:rFonts w:ascii="Times New Roman" w:hAnsi="Times New Roman" w:cs="Times New Roman"/>
          <w:b w:val="0"/>
          <w:bCs w:val="0"/>
          <w:sz w:val="24"/>
          <w:szCs w:val="24"/>
        </w:rPr>
        <w:t>ecosystem</w:t>
      </w:r>
      <w:r w:rsidR="006A0356">
        <w:rPr>
          <w:rStyle w:val="Strong"/>
          <w:rFonts w:ascii="Times New Roman" w:hAnsi="Times New Roman" w:cs="Times New Roman"/>
          <w:b w:val="0"/>
          <w:bCs w:val="0"/>
          <w:sz w:val="24"/>
          <w:szCs w:val="24"/>
        </w:rPr>
        <w:t>.</w:t>
      </w:r>
      <w:r w:rsidR="009D40A3">
        <w:rPr>
          <w:rStyle w:val="Strong"/>
          <w:rFonts w:ascii="Times New Roman" w:hAnsi="Times New Roman" w:cs="Times New Roman"/>
          <w:b w:val="0"/>
          <w:bCs w:val="0"/>
          <w:sz w:val="24"/>
          <w:szCs w:val="24"/>
        </w:rPr>
        <w:t xml:space="preserve"> </w:t>
      </w:r>
      <w:r w:rsidR="00325A32">
        <w:rPr>
          <w:rStyle w:val="Strong"/>
          <w:rFonts w:ascii="Times New Roman" w:hAnsi="Times New Roman" w:cs="Times New Roman"/>
          <w:b w:val="0"/>
          <w:bCs w:val="0"/>
          <w:sz w:val="24"/>
          <w:szCs w:val="24"/>
        </w:rPr>
        <w:t xml:space="preserve">ECCOG will continue to their support </w:t>
      </w:r>
      <w:r w:rsidR="00C45A34">
        <w:rPr>
          <w:rStyle w:val="Strong"/>
          <w:rFonts w:ascii="Times New Roman" w:hAnsi="Times New Roman" w:cs="Times New Roman"/>
          <w:b w:val="0"/>
          <w:bCs w:val="0"/>
          <w:sz w:val="24"/>
          <w:szCs w:val="24"/>
        </w:rPr>
        <w:t>towards participant-directed/person-centered programs with assistance from the Ombudsm</w:t>
      </w:r>
      <w:r w:rsidR="00CE106E">
        <w:rPr>
          <w:rStyle w:val="Strong"/>
          <w:rFonts w:ascii="Times New Roman" w:hAnsi="Times New Roman" w:cs="Times New Roman"/>
          <w:b w:val="0"/>
          <w:bCs w:val="0"/>
          <w:sz w:val="24"/>
          <w:szCs w:val="24"/>
        </w:rPr>
        <w:t xml:space="preserve">an services and contract providers. Providers </w:t>
      </w:r>
      <w:r w:rsidR="000A2C7C">
        <w:rPr>
          <w:rStyle w:val="Strong"/>
          <w:rFonts w:ascii="Times New Roman" w:hAnsi="Times New Roman" w:cs="Times New Roman"/>
          <w:b w:val="0"/>
          <w:bCs w:val="0"/>
          <w:sz w:val="24"/>
          <w:szCs w:val="24"/>
        </w:rPr>
        <w:t>include</w:t>
      </w:r>
      <w:r w:rsidR="00CE106E">
        <w:rPr>
          <w:rStyle w:val="Strong"/>
          <w:rFonts w:ascii="Times New Roman" w:hAnsi="Times New Roman" w:cs="Times New Roman"/>
          <w:b w:val="0"/>
          <w:bCs w:val="0"/>
          <w:sz w:val="24"/>
          <w:szCs w:val="24"/>
        </w:rPr>
        <w:t xml:space="preserve"> Eastern Colorado Home Care, Lincoln County Department of Human Services, Kit Carson County</w:t>
      </w:r>
      <w:r w:rsidR="001F3C7E">
        <w:rPr>
          <w:rStyle w:val="Strong"/>
          <w:rFonts w:ascii="Times New Roman" w:hAnsi="Times New Roman" w:cs="Times New Roman"/>
          <w:b w:val="0"/>
          <w:bCs w:val="0"/>
          <w:sz w:val="24"/>
          <w:szCs w:val="24"/>
        </w:rPr>
        <w:t xml:space="preserve"> Home Health Agency</w:t>
      </w:r>
      <w:r w:rsidR="00522F24">
        <w:rPr>
          <w:rStyle w:val="Strong"/>
          <w:rFonts w:ascii="Times New Roman" w:hAnsi="Times New Roman" w:cs="Times New Roman"/>
          <w:b w:val="0"/>
          <w:bCs w:val="0"/>
          <w:sz w:val="24"/>
          <w:szCs w:val="24"/>
        </w:rPr>
        <w:t>,</w:t>
      </w:r>
      <w:r w:rsidR="001F3C7E">
        <w:rPr>
          <w:rStyle w:val="Strong"/>
          <w:rFonts w:ascii="Times New Roman" w:hAnsi="Times New Roman" w:cs="Times New Roman"/>
          <w:b w:val="0"/>
          <w:bCs w:val="0"/>
          <w:sz w:val="24"/>
          <w:szCs w:val="24"/>
        </w:rPr>
        <w:t xml:space="preserve"> </w:t>
      </w:r>
      <w:r w:rsidR="000A2C7C">
        <w:rPr>
          <w:rStyle w:val="Strong"/>
          <w:rFonts w:ascii="Times New Roman" w:hAnsi="Times New Roman" w:cs="Times New Roman"/>
          <w:b w:val="0"/>
          <w:bCs w:val="0"/>
          <w:sz w:val="24"/>
          <w:szCs w:val="24"/>
        </w:rPr>
        <w:t>Centennial Mental Health</w:t>
      </w:r>
      <w:r w:rsidR="00EE6591" w:rsidRPr="00A6669C">
        <w:rPr>
          <w:rStyle w:val="Strong"/>
          <w:rFonts w:ascii="Times New Roman" w:hAnsi="Times New Roman" w:cs="Times New Roman"/>
          <w:b w:val="0"/>
          <w:bCs w:val="0"/>
          <w:sz w:val="24"/>
          <w:szCs w:val="24"/>
        </w:rPr>
        <w:t>,</w:t>
      </w:r>
      <w:r w:rsidR="000A2C7C">
        <w:rPr>
          <w:rStyle w:val="Strong"/>
          <w:rFonts w:ascii="Times New Roman" w:hAnsi="Times New Roman" w:cs="Times New Roman"/>
          <w:b w:val="0"/>
          <w:bCs w:val="0"/>
          <w:sz w:val="24"/>
          <w:szCs w:val="24"/>
        </w:rPr>
        <w:t xml:space="preserve"> </w:t>
      </w:r>
      <w:r w:rsidR="001F3C7E">
        <w:rPr>
          <w:rStyle w:val="Strong"/>
          <w:rFonts w:ascii="Times New Roman" w:hAnsi="Times New Roman" w:cs="Times New Roman"/>
          <w:b w:val="0"/>
          <w:bCs w:val="0"/>
          <w:sz w:val="24"/>
          <w:szCs w:val="24"/>
        </w:rPr>
        <w:t xml:space="preserve">and Cheyenne County Public Health. </w:t>
      </w:r>
      <w:r w:rsidR="00CE106E">
        <w:rPr>
          <w:rStyle w:val="Strong"/>
          <w:rFonts w:ascii="Times New Roman" w:hAnsi="Times New Roman" w:cs="Times New Roman"/>
          <w:b w:val="0"/>
          <w:bCs w:val="0"/>
          <w:sz w:val="24"/>
          <w:szCs w:val="24"/>
        </w:rPr>
        <w:t xml:space="preserve"> </w:t>
      </w:r>
    </w:p>
    <w:p w14:paraId="65014BAF" w14:textId="77777777" w:rsidR="00B85860" w:rsidRPr="00A831CE" w:rsidRDefault="00B85860">
      <w:pPr>
        <w:rPr>
          <w:rStyle w:val="Strong"/>
          <w:b w:val="0"/>
          <w:bCs w:val="0"/>
        </w:rPr>
      </w:pPr>
      <w:r>
        <w:rPr>
          <w:rStyle w:val="Strong"/>
        </w:rPr>
        <w:br w:type="page"/>
      </w:r>
    </w:p>
    <w:p w14:paraId="6D03BAF1" w14:textId="5F8C20D4" w:rsidR="00B85860" w:rsidRPr="00A6669C" w:rsidRDefault="00B85860" w:rsidP="00B85860">
      <w:pPr>
        <w:pStyle w:val="Heading1"/>
        <w:rPr>
          <w:rStyle w:val="Strong"/>
          <w:rFonts w:ascii="Times New Roman" w:hAnsi="Times New Roman" w:cs="Times New Roman"/>
          <w:b w:val="0"/>
        </w:rPr>
      </w:pPr>
      <w:bookmarkStart w:id="9" w:name="_Toc130291151"/>
      <w:r w:rsidRPr="00A6669C">
        <w:rPr>
          <w:rStyle w:val="Strong"/>
          <w:rFonts w:ascii="Times New Roman" w:hAnsi="Times New Roman" w:cs="Times New Roman"/>
          <w:b w:val="0"/>
        </w:rPr>
        <w:lastRenderedPageBreak/>
        <w:t>Section</w:t>
      </w:r>
      <w:r w:rsidR="0083679A" w:rsidRPr="00A6669C">
        <w:rPr>
          <w:rStyle w:val="Strong"/>
          <w:rFonts w:ascii="Times New Roman" w:hAnsi="Times New Roman" w:cs="Times New Roman"/>
          <w:b w:val="0"/>
        </w:rPr>
        <w:t xml:space="preserve"> VIII: </w:t>
      </w:r>
      <w:r w:rsidR="00882C3F" w:rsidRPr="00A6669C">
        <w:rPr>
          <w:rStyle w:val="Strong"/>
          <w:rFonts w:ascii="Times New Roman" w:hAnsi="Times New Roman" w:cs="Times New Roman"/>
          <w:b w:val="0"/>
        </w:rPr>
        <w:t>Questions</w:t>
      </w:r>
      <w:bookmarkEnd w:id="9"/>
    </w:p>
    <w:p w14:paraId="76C637D3" w14:textId="03DF691D" w:rsidR="00882C3F" w:rsidRPr="00A6669C" w:rsidRDefault="00882C3F" w:rsidP="00882C3F">
      <w:pPr>
        <w:rPr>
          <w:rStyle w:val="Strong"/>
          <w:rFonts w:ascii="Times New Roman" w:hAnsi="Times New Roman" w:cs="Times New Roman"/>
        </w:rPr>
      </w:pPr>
      <w:r w:rsidRPr="00A6669C">
        <w:rPr>
          <w:rStyle w:val="Strong"/>
          <w:rFonts w:ascii="Times New Roman" w:hAnsi="Times New Roman" w:cs="Times New Roman"/>
        </w:rPr>
        <w:t>The Area Plan covers State Fiscal Years (SFY) 2024-2027 (July 1, 2023</w:t>
      </w:r>
      <w:r w:rsidR="00EE6591" w:rsidRPr="00A6669C">
        <w:rPr>
          <w:rStyle w:val="Strong"/>
          <w:rFonts w:ascii="Times New Roman" w:hAnsi="Times New Roman" w:cs="Times New Roman"/>
        </w:rPr>
        <w:t>,</w:t>
      </w:r>
      <w:r w:rsidRPr="00A6669C">
        <w:rPr>
          <w:rStyle w:val="Strong"/>
          <w:rFonts w:ascii="Times New Roman" w:hAnsi="Times New Roman" w:cs="Times New Roman"/>
        </w:rPr>
        <w:t xml:space="preserve"> through June 30, 2027)</w:t>
      </w:r>
      <w:r w:rsidR="00A80AF0" w:rsidRPr="00A6669C">
        <w:rPr>
          <w:rStyle w:val="Strong"/>
          <w:rFonts w:ascii="Times New Roman" w:hAnsi="Times New Roman" w:cs="Times New Roman"/>
        </w:rPr>
        <w:t>. The Are</w:t>
      </w:r>
      <w:r w:rsidR="00EE6591">
        <w:rPr>
          <w:rStyle w:val="Strong"/>
          <w:rFonts w:ascii="Times New Roman" w:hAnsi="Times New Roman" w:cs="Times New Roman"/>
        </w:rPr>
        <w:t>a</w:t>
      </w:r>
      <w:r w:rsidR="00A80AF0" w:rsidRPr="00A6669C">
        <w:rPr>
          <w:rStyle w:val="Strong"/>
          <w:rFonts w:ascii="Times New Roman" w:hAnsi="Times New Roman" w:cs="Times New Roman"/>
        </w:rPr>
        <w:t xml:space="preserve"> Plan shall respond specifically to each of the following questions.</w:t>
      </w:r>
    </w:p>
    <w:p w14:paraId="046C0872" w14:textId="5AB53332" w:rsidR="00A80AF0" w:rsidRPr="00A6669C" w:rsidRDefault="00ED30FF" w:rsidP="00ED30FF">
      <w:pPr>
        <w:pStyle w:val="Heading3"/>
        <w:rPr>
          <w:rStyle w:val="Strong"/>
          <w:rFonts w:ascii="Times New Roman" w:hAnsi="Times New Roman" w:cs="Times New Roman"/>
          <w:b w:val="0"/>
        </w:rPr>
      </w:pPr>
      <w:bookmarkStart w:id="10" w:name="_Toc130291152"/>
      <w:r w:rsidRPr="00A6669C">
        <w:rPr>
          <w:rStyle w:val="Strong"/>
          <w:rFonts w:ascii="Times New Roman" w:hAnsi="Times New Roman" w:cs="Times New Roman"/>
          <w:b w:val="0"/>
        </w:rPr>
        <w:t>Services</w:t>
      </w:r>
      <w:bookmarkEnd w:id="10"/>
    </w:p>
    <w:p w14:paraId="03E2AA3A" w14:textId="2E8AF02D" w:rsidR="00ED30FF" w:rsidRPr="00A6669C" w:rsidRDefault="00ED30FF" w:rsidP="00ED30FF">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service/services are the highest priority in the Region and why are these services prioritized?</w:t>
      </w:r>
    </w:p>
    <w:p w14:paraId="696CCFB2" w14:textId="722EA619" w:rsidR="0065024B" w:rsidRPr="00BB01C0" w:rsidRDefault="0065024B" w:rsidP="0065024B">
      <w:pPr>
        <w:pStyle w:val="ListParagraph"/>
        <w:rPr>
          <w:rFonts w:ascii="Times New Roman" w:hAnsi="Times New Roman" w:cs="Times New Roman"/>
          <w:sz w:val="24"/>
          <w:szCs w:val="24"/>
        </w:rPr>
      </w:pPr>
      <w:r w:rsidRPr="00BB01C0">
        <w:rPr>
          <w:rFonts w:ascii="Times New Roman" w:hAnsi="Times New Roman" w:cs="Times New Roman"/>
          <w:sz w:val="24"/>
          <w:szCs w:val="24"/>
        </w:rPr>
        <w:t xml:space="preserve">The services of highest priority in the region based on need are </w:t>
      </w:r>
      <w:r w:rsidR="009D4B87" w:rsidRPr="00BB01C0">
        <w:rPr>
          <w:rFonts w:ascii="Times New Roman" w:hAnsi="Times New Roman" w:cs="Times New Roman"/>
          <w:sz w:val="24"/>
          <w:szCs w:val="24"/>
        </w:rPr>
        <w:t xml:space="preserve">meals, </w:t>
      </w:r>
      <w:r w:rsidR="00791670" w:rsidRPr="00BB01C0">
        <w:rPr>
          <w:rFonts w:ascii="Times New Roman" w:hAnsi="Times New Roman" w:cs="Times New Roman"/>
          <w:sz w:val="24"/>
          <w:szCs w:val="24"/>
        </w:rPr>
        <w:t>transportation,</w:t>
      </w:r>
      <w:r w:rsidR="009D4B87" w:rsidRPr="00BB01C0">
        <w:rPr>
          <w:rFonts w:ascii="Times New Roman" w:hAnsi="Times New Roman" w:cs="Times New Roman"/>
          <w:sz w:val="24"/>
          <w:szCs w:val="24"/>
        </w:rPr>
        <w:t xml:space="preserve"> and material assistance. These are prioritized due to the vast rural </w:t>
      </w:r>
      <w:r w:rsidR="00791670" w:rsidRPr="00BB01C0">
        <w:rPr>
          <w:rFonts w:ascii="Times New Roman" w:hAnsi="Times New Roman" w:cs="Times New Roman"/>
          <w:sz w:val="24"/>
          <w:szCs w:val="24"/>
        </w:rPr>
        <w:t xml:space="preserve">area and lack of amenities found in metropolitan areas. </w:t>
      </w:r>
      <w:r w:rsidR="00C92F1B" w:rsidRPr="00BB01C0">
        <w:rPr>
          <w:rFonts w:ascii="Times New Roman" w:hAnsi="Times New Roman" w:cs="Times New Roman"/>
          <w:sz w:val="24"/>
          <w:szCs w:val="24"/>
        </w:rPr>
        <w:t xml:space="preserve">Through </w:t>
      </w:r>
      <w:r w:rsidR="003874C5" w:rsidRPr="00BB01C0">
        <w:rPr>
          <w:rFonts w:ascii="Times New Roman" w:hAnsi="Times New Roman" w:cs="Times New Roman"/>
          <w:sz w:val="24"/>
          <w:szCs w:val="24"/>
        </w:rPr>
        <w:t xml:space="preserve">some community input surveys distributed across the region East Central AAA has also found that there is a very strong need for technology and assistance classes for older adults. </w:t>
      </w:r>
      <w:r w:rsidR="001F42CD" w:rsidRPr="00BB01C0">
        <w:rPr>
          <w:rFonts w:ascii="Times New Roman" w:hAnsi="Times New Roman" w:cs="Times New Roman"/>
          <w:sz w:val="24"/>
          <w:szCs w:val="24"/>
        </w:rPr>
        <w:t xml:space="preserve">Out of </w:t>
      </w:r>
      <w:r w:rsidR="00C954D0" w:rsidRPr="00BB01C0">
        <w:rPr>
          <w:rFonts w:ascii="Times New Roman" w:hAnsi="Times New Roman" w:cs="Times New Roman"/>
          <w:sz w:val="24"/>
          <w:szCs w:val="24"/>
        </w:rPr>
        <w:t>about 1</w:t>
      </w:r>
      <w:r w:rsidR="00C75FB6" w:rsidRPr="00BB01C0">
        <w:rPr>
          <w:rFonts w:ascii="Times New Roman" w:hAnsi="Times New Roman" w:cs="Times New Roman"/>
          <w:sz w:val="24"/>
          <w:szCs w:val="24"/>
        </w:rPr>
        <w:t xml:space="preserve">32 surveys distributed, 65 were returned and tallied for responses. Technology assistance was </w:t>
      </w:r>
      <w:r w:rsidR="0097212F" w:rsidRPr="00BB01C0">
        <w:rPr>
          <w:rFonts w:ascii="Times New Roman" w:hAnsi="Times New Roman" w:cs="Times New Roman"/>
          <w:sz w:val="24"/>
          <w:szCs w:val="24"/>
        </w:rPr>
        <w:t xml:space="preserve">marked 36 times out of a total of </w:t>
      </w:r>
      <w:r w:rsidR="00485163" w:rsidRPr="00BB01C0">
        <w:rPr>
          <w:rFonts w:ascii="Times New Roman" w:hAnsi="Times New Roman" w:cs="Times New Roman"/>
          <w:sz w:val="24"/>
          <w:szCs w:val="24"/>
        </w:rPr>
        <w:t xml:space="preserve">56 responses to that question specifically. </w:t>
      </w:r>
    </w:p>
    <w:p w14:paraId="06090222" w14:textId="54A58A1F" w:rsidR="00ED30FF" w:rsidRPr="00A6669C" w:rsidRDefault="00ED30FF" w:rsidP="00ED30FF">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is the workforce and volunteer capacity in the Region relative to the need?</w:t>
      </w:r>
    </w:p>
    <w:p w14:paraId="34A07728" w14:textId="0B7CDA42" w:rsidR="00C03FC7" w:rsidRPr="00BB01C0" w:rsidRDefault="00577422" w:rsidP="00C03FC7">
      <w:pPr>
        <w:pStyle w:val="ListParagraph"/>
        <w:rPr>
          <w:rFonts w:ascii="Times New Roman" w:hAnsi="Times New Roman" w:cs="Times New Roman"/>
          <w:sz w:val="24"/>
          <w:szCs w:val="24"/>
        </w:rPr>
      </w:pPr>
      <w:r w:rsidRPr="00BB01C0">
        <w:rPr>
          <w:rFonts w:ascii="Times New Roman" w:hAnsi="Times New Roman" w:cs="Times New Roman"/>
          <w:sz w:val="24"/>
          <w:szCs w:val="24"/>
        </w:rPr>
        <w:t>The region has a limited labor pool to recruit staff and volunteers from. Many of the younger generations move out of the region</w:t>
      </w:r>
      <w:r w:rsidR="008557E8" w:rsidRPr="00BB01C0">
        <w:rPr>
          <w:rFonts w:ascii="Times New Roman" w:hAnsi="Times New Roman" w:cs="Times New Roman"/>
          <w:sz w:val="24"/>
          <w:szCs w:val="24"/>
        </w:rPr>
        <w:t xml:space="preserve"> leaving older adults as a main source of the labor pool. </w:t>
      </w:r>
      <w:r w:rsidR="00E769DD" w:rsidRPr="00BB01C0">
        <w:rPr>
          <w:rFonts w:ascii="Times New Roman" w:hAnsi="Times New Roman" w:cs="Times New Roman"/>
          <w:sz w:val="24"/>
          <w:szCs w:val="24"/>
        </w:rPr>
        <w:t xml:space="preserve">Which means turnover is high every few years and training </w:t>
      </w:r>
      <w:r w:rsidR="00A64554" w:rsidRPr="00BB01C0">
        <w:rPr>
          <w:rFonts w:ascii="Times New Roman" w:hAnsi="Times New Roman" w:cs="Times New Roman"/>
          <w:sz w:val="24"/>
          <w:szCs w:val="24"/>
        </w:rPr>
        <w:t>costs are high relative to the turnover.</w:t>
      </w:r>
    </w:p>
    <w:p w14:paraId="2EFB5345" w14:textId="06BBDD07" w:rsidR="00ED30FF" w:rsidRPr="00A6669C" w:rsidRDefault="00ED30FF" w:rsidP="00ED30FF">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 xml:space="preserve">What is your current process for monitoring providers and what plans do you have to update </w:t>
      </w:r>
      <w:r w:rsidR="00083D05" w:rsidRPr="00A6669C">
        <w:rPr>
          <w:rFonts w:ascii="Times New Roman" w:hAnsi="Times New Roman" w:cs="Times New Roman"/>
          <w:b/>
          <w:sz w:val="24"/>
          <w:szCs w:val="24"/>
        </w:rPr>
        <w:t xml:space="preserve">it and improve over the next </w:t>
      </w:r>
      <w:r w:rsidR="00F25679" w:rsidRPr="00A6669C">
        <w:rPr>
          <w:rFonts w:ascii="Times New Roman" w:hAnsi="Times New Roman" w:cs="Times New Roman"/>
          <w:b/>
          <w:sz w:val="24"/>
          <w:szCs w:val="24"/>
        </w:rPr>
        <w:t>four (4)</w:t>
      </w:r>
      <w:r w:rsidR="00083D05" w:rsidRPr="00A6669C">
        <w:rPr>
          <w:rFonts w:ascii="Times New Roman" w:hAnsi="Times New Roman" w:cs="Times New Roman"/>
          <w:b/>
          <w:sz w:val="24"/>
          <w:szCs w:val="24"/>
        </w:rPr>
        <w:t xml:space="preserve"> years?</w:t>
      </w:r>
    </w:p>
    <w:p w14:paraId="44988B77" w14:textId="3C926752" w:rsidR="008932D7" w:rsidRPr="00BB01C0" w:rsidRDefault="005F2DDA" w:rsidP="008932D7">
      <w:pPr>
        <w:pStyle w:val="ListParagraph"/>
        <w:rPr>
          <w:rFonts w:ascii="Times New Roman" w:hAnsi="Times New Roman" w:cs="Times New Roman"/>
          <w:sz w:val="24"/>
          <w:szCs w:val="24"/>
        </w:rPr>
      </w:pPr>
      <w:r w:rsidRPr="00BB01C0">
        <w:rPr>
          <w:rFonts w:ascii="Times New Roman" w:hAnsi="Times New Roman" w:cs="Times New Roman"/>
          <w:sz w:val="24"/>
          <w:szCs w:val="24"/>
        </w:rPr>
        <w:t>ECCOG monitors provider</w:t>
      </w:r>
      <w:r w:rsidR="00511298" w:rsidRPr="00BB01C0">
        <w:rPr>
          <w:rFonts w:ascii="Times New Roman" w:hAnsi="Times New Roman" w:cs="Times New Roman"/>
          <w:sz w:val="24"/>
          <w:szCs w:val="24"/>
        </w:rPr>
        <w:t>s</w:t>
      </w:r>
      <w:r w:rsidRPr="00BB01C0">
        <w:rPr>
          <w:rFonts w:ascii="Times New Roman" w:hAnsi="Times New Roman" w:cs="Times New Roman"/>
          <w:sz w:val="24"/>
          <w:szCs w:val="24"/>
        </w:rPr>
        <w:t xml:space="preserve"> through a combination of virtual and in person desk evaluations</w:t>
      </w:r>
      <w:r w:rsidR="00F77BA8" w:rsidRPr="00BB01C0">
        <w:rPr>
          <w:rFonts w:ascii="Times New Roman" w:hAnsi="Times New Roman" w:cs="Times New Roman"/>
          <w:sz w:val="24"/>
          <w:szCs w:val="24"/>
        </w:rPr>
        <w:t>, client feedback</w:t>
      </w:r>
      <w:r w:rsidR="00912E22" w:rsidRPr="00BB01C0">
        <w:rPr>
          <w:rFonts w:ascii="Times New Roman" w:hAnsi="Times New Roman" w:cs="Times New Roman"/>
          <w:sz w:val="24"/>
          <w:szCs w:val="24"/>
        </w:rPr>
        <w:t xml:space="preserve"> surveys</w:t>
      </w:r>
      <w:r w:rsidR="00F77BA8" w:rsidRPr="00BB01C0">
        <w:rPr>
          <w:rFonts w:ascii="Times New Roman" w:hAnsi="Times New Roman" w:cs="Times New Roman"/>
          <w:sz w:val="24"/>
          <w:szCs w:val="24"/>
        </w:rPr>
        <w:t xml:space="preserve"> and </w:t>
      </w:r>
      <w:r w:rsidR="00B031D6" w:rsidRPr="00BB01C0">
        <w:rPr>
          <w:rFonts w:ascii="Times New Roman" w:hAnsi="Times New Roman" w:cs="Times New Roman"/>
          <w:sz w:val="24"/>
          <w:szCs w:val="24"/>
        </w:rPr>
        <w:t xml:space="preserve">impact reports. </w:t>
      </w:r>
      <w:r w:rsidR="00086FAC" w:rsidRPr="00BB01C0">
        <w:rPr>
          <w:rFonts w:ascii="Times New Roman" w:hAnsi="Times New Roman" w:cs="Times New Roman"/>
          <w:sz w:val="24"/>
          <w:szCs w:val="24"/>
        </w:rPr>
        <w:t xml:space="preserve">ECCOG will develop new monitoring documents that are more pertinent to the work </w:t>
      </w:r>
      <w:r w:rsidR="007B548E" w:rsidRPr="00BB01C0">
        <w:rPr>
          <w:rFonts w:ascii="Times New Roman" w:hAnsi="Times New Roman" w:cs="Times New Roman"/>
          <w:sz w:val="24"/>
          <w:szCs w:val="24"/>
        </w:rPr>
        <w:t xml:space="preserve">of each individual provider. </w:t>
      </w:r>
    </w:p>
    <w:p w14:paraId="6BFC2806" w14:textId="1A9310A9" w:rsidR="00083D05" w:rsidRPr="00A6669C" w:rsidRDefault="00083D05" w:rsidP="00ED30FF">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services currently have a waitlist? What is the process for monitoring the waitlist and how are individuals prioritized to receive services?</w:t>
      </w:r>
    </w:p>
    <w:p w14:paraId="2CEC62DC" w14:textId="07647A76" w:rsidR="007B548E" w:rsidRPr="00BB01C0" w:rsidRDefault="00180549" w:rsidP="007B548E">
      <w:pPr>
        <w:pStyle w:val="ListParagraph"/>
        <w:rPr>
          <w:rFonts w:ascii="Times New Roman" w:hAnsi="Times New Roman" w:cs="Times New Roman"/>
          <w:sz w:val="24"/>
          <w:szCs w:val="24"/>
        </w:rPr>
      </w:pPr>
      <w:r w:rsidRPr="00BB01C0">
        <w:rPr>
          <w:rFonts w:ascii="Times New Roman" w:hAnsi="Times New Roman" w:cs="Times New Roman"/>
          <w:sz w:val="24"/>
          <w:szCs w:val="24"/>
        </w:rPr>
        <w:t xml:space="preserve">Currently no service or program has a waitlist because of our </w:t>
      </w:r>
      <w:r w:rsidR="00FF66BD" w:rsidRPr="00BB01C0">
        <w:rPr>
          <w:rFonts w:ascii="Times New Roman" w:hAnsi="Times New Roman" w:cs="Times New Roman"/>
          <w:sz w:val="24"/>
          <w:szCs w:val="24"/>
        </w:rPr>
        <w:t xml:space="preserve">continuous monitoring of the programs. ECCOG staff and administrators </w:t>
      </w:r>
      <w:r w:rsidR="008C7084" w:rsidRPr="00BB01C0">
        <w:rPr>
          <w:rFonts w:ascii="Times New Roman" w:hAnsi="Times New Roman" w:cs="Times New Roman"/>
          <w:sz w:val="24"/>
          <w:szCs w:val="24"/>
        </w:rPr>
        <w:t>monitor</w:t>
      </w:r>
      <w:r w:rsidR="00D1780C" w:rsidRPr="00BB01C0">
        <w:rPr>
          <w:rFonts w:ascii="Times New Roman" w:hAnsi="Times New Roman" w:cs="Times New Roman"/>
          <w:sz w:val="24"/>
          <w:szCs w:val="24"/>
        </w:rPr>
        <w:t xml:space="preserve"> client service units, intake assessments and</w:t>
      </w:r>
      <w:r w:rsidR="008C7084" w:rsidRPr="00BB01C0">
        <w:rPr>
          <w:rFonts w:ascii="Times New Roman" w:hAnsi="Times New Roman" w:cs="Times New Roman"/>
          <w:sz w:val="24"/>
          <w:szCs w:val="24"/>
        </w:rPr>
        <w:t xml:space="preserve"> funds to providers and direct service</w:t>
      </w:r>
      <w:r w:rsidR="00D1780C" w:rsidRPr="00BB01C0">
        <w:rPr>
          <w:rFonts w:ascii="Times New Roman" w:hAnsi="Times New Roman" w:cs="Times New Roman"/>
          <w:sz w:val="24"/>
          <w:szCs w:val="24"/>
        </w:rPr>
        <w:t>s</w:t>
      </w:r>
      <w:r w:rsidR="008C7084" w:rsidRPr="00BB01C0">
        <w:rPr>
          <w:rFonts w:ascii="Times New Roman" w:hAnsi="Times New Roman" w:cs="Times New Roman"/>
          <w:sz w:val="24"/>
          <w:szCs w:val="24"/>
        </w:rPr>
        <w:t xml:space="preserve"> to ensure service delivery throughout the year. </w:t>
      </w:r>
    </w:p>
    <w:p w14:paraId="7CF63D02" w14:textId="400A5BE6" w:rsidR="00083D05" w:rsidRPr="00A6669C" w:rsidRDefault="00E42720" w:rsidP="00E42720">
      <w:pPr>
        <w:pStyle w:val="Heading3"/>
        <w:rPr>
          <w:rFonts w:ascii="Times New Roman" w:hAnsi="Times New Roman" w:cs="Times New Roman"/>
        </w:rPr>
      </w:pPr>
      <w:bookmarkStart w:id="11" w:name="_Toc130291153"/>
      <w:r w:rsidRPr="00A6669C">
        <w:rPr>
          <w:rFonts w:ascii="Times New Roman" w:hAnsi="Times New Roman" w:cs="Times New Roman"/>
        </w:rPr>
        <w:t>Ombudsman and Legal Assistance</w:t>
      </w:r>
      <w:bookmarkEnd w:id="11"/>
    </w:p>
    <w:p w14:paraId="44EADF2A" w14:textId="3F6A13E4" w:rsidR="0083679A" w:rsidRPr="00A6669C" w:rsidRDefault="00165F53" w:rsidP="005043EC">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long-term care issues would you like the State Ombudsman to give priority to</w:t>
      </w:r>
      <w:r w:rsidR="00EE6591">
        <w:rPr>
          <w:rFonts w:ascii="Times New Roman" w:hAnsi="Times New Roman" w:cs="Times New Roman"/>
          <w:b/>
          <w:bCs/>
          <w:sz w:val="24"/>
          <w:szCs w:val="24"/>
        </w:rPr>
        <w:t>,</w:t>
      </w:r>
      <w:r w:rsidRPr="00A6669C">
        <w:rPr>
          <w:rFonts w:ascii="Times New Roman" w:hAnsi="Times New Roman" w:cs="Times New Roman"/>
          <w:b/>
          <w:sz w:val="24"/>
          <w:szCs w:val="24"/>
        </w:rPr>
        <w:t xml:space="preserve"> as </w:t>
      </w:r>
      <w:proofErr w:type="gramStart"/>
      <w:r w:rsidRPr="00A6669C">
        <w:rPr>
          <w:rFonts w:ascii="Times New Roman" w:hAnsi="Times New Roman" w:cs="Times New Roman"/>
          <w:b/>
          <w:sz w:val="24"/>
          <w:szCs w:val="24"/>
        </w:rPr>
        <w:t>a systems</w:t>
      </w:r>
      <w:proofErr w:type="gramEnd"/>
      <w:r w:rsidRPr="00A6669C">
        <w:rPr>
          <w:rFonts w:ascii="Times New Roman" w:hAnsi="Times New Roman" w:cs="Times New Roman"/>
          <w:b/>
          <w:sz w:val="24"/>
          <w:szCs w:val="24"/>
        </w:rPr>
        <w:t xml:space="preserve"> ad</w:t>
      </w:r>
      <w:r w:rsidR="00F25679" w:rsidRPr="00A6669C">
        <w:rPr>
          <w:rFonts w:ascii="Times New Roman" w:hAnsi="Times New Roman" w:cs="Times New Roman"/>
          <w:b/>
          <w:sz w:val="24"/>
          <w:szCs w:val="24"/>
        </w:rPr>
        <w:t>vocate during the next four (4) years?</w:t>
      </w:r>
    </w:p>
    <w:p w14:paraId="5CC7D4A2" w14:textId="25E1B2C0" w:rsidR="00D82E65" w:rsidRPr="00BB01C0" w:rsidRDefault="003F7CD1" w:rsidP="00D82E65">
      <w:pPr>
        <w:pStyle w:val="ListParagraph"/>
        <w:rPr>
          <w:rFonts w:ascii="Times New Roman" w:hAnsi="Times New Roman" w:cs="Times New Roman"/>
          <w:sz w:val="24"/>
          <w:szCs w:val="24"/>
        </w:rPr>
      </w:pPr>
      <w:r w:rsidRPr="00BB01C0">
        <w:rPr>
          <w:rFonts w:ascii="Times New Roman" w:hAnsi="Times New Roman" w:cs="Times New Roman"/>
          <w:sz w:val="24"/>
          <w:szCs w:val="24"/>
        </w:rPr>
        <w:t>Acquire and provide more funds to run the Ombudsman program</w:t>
      </w:r>
      <w:r w:rsidR="00097110" w:rsidRPr="00BB01C0">
        <w:rPr>
          <w:rFonts w:ascii="Times New Roman" w:hAnsi="Times New Roman" w:cs="Times New Roman"/>
          <w:sz w:val="24"/>
          <w:szCs w:val="24"/>
        </w:rPr>
        <w:t xml:space="preserve"> so that other</w:t>
      </w:r>
      <w:r w:rsidR="0029318D" w:rsidRPr="00BB01C0">
        <w:rPr>
          <w:rFonts w:ascii="Times New Roman" w:hAnsi="Times New Roman" w:cs="Times New Roman"/>
          <w:sz w:val="24"/>
          <w:szCs w:val="24"/>
        </w:rPr>
        <w:t xml:space="preserve"> Area Agency on Aging</w:t>
      </w:r>
      <w:r w:rsidR="00097110" w:rsidRPr="00BB01C0">
        <w:rPr>
          <w:rFonts w:ascii="Times New Roman" w:hAnsi="Times New Roman" w:cs="Times New Roman"/>
          <w:sz w:val="24"/>
          <w:szCs w:val="24"/>
        </w:rPr>
        <w:t xml:space="preserve"> OAA/SFSS monies are not used.</w:t>
      </w:r>
    </w:p>
    <w:p w14:paraId="0FF55B4A" w14:textId="4A4A4D8A" w:rsidR="005043EC" w:rsidRPr="00A6669C" w:rsidRDefault="005043EC" w:rsidP="005043EC">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 xml:space="preserve">In addition to resident council meetings, family council meetings, and presentation to the community, what other activities will the local Ombudsman participate in </w:t>
      </w:r>
      <w:r w:rsidRPr="00A6669C">
        <w:rPr>
          <w:rFonts w:ascii="Times New Roman" w:hAnsi="Times New Roman" w:cs="Times New Roman"/>
          <w:b/>
          <w:sz w:val="24"/>
          <w:szCs w:val="24"/>
        </w:rPr>
        <w:lastRenderedPageBreak/>
        <w:t>during the next four years to educate the community regarding long-term care ombudsman services?</w:t>
      </w:r>
    </w:p>
    <w:p w14:paraId="280BFC65" w14:textId="77777777" w:rsidR="00C7697F" w:rsidRPr="00BA56E6" w:rsidRDefault="00D3093F" w:rsidP="00C7697F">
      <w:pPr>
        <w:pStyle w:val="ListParagraph"/>
        <w:rPr>
          <w:rFonts w:ascii="Times New Roman" w:hAnsi="Times New Roman" w:cs="Times New Roman"/>
          <w:sz w:val="24"/>
          <w:szCs w:val="24"/>
        </w:rPr>
      </w:pPr>
      <w:r w:rsidRPr="00BA56E6">
        <w:rPr>
          <w:rFonts w:ascii="Times New Roman" w:hAnsi="Times New Roman" w:cs="Times New Roman"/>
          <w:sz w:val="24"/>
          <w:szCs w:val="24"/>
        </w:rPr>
        <w:t xml:space="preserve">Local Ombudsmen </w:t>
      </w:r>
      <w:r w:rsidR="00786CBC" w:rsidRPr="00BA56E6">
        <w:rPr>
          <w:rFonts w:ascii="Times New Roman" w:hAnsi="Times New Roman" w:cs="Times New Roman"/>
          <w:sz w:val="24"/>
          <w:szCs w:val="24"/>
        </w:rPr>
        <w:t>may present to the public on their services</w:t>
      </w:r>
      <w:r w:rsidR="00F320E9" w:rsidRPr="00BA56E6">
        <w:rPr>
          <w:rFonts w:ascii="Times New Roman" w:hAnsi="Times New Roman" w:cs="Times New Roman"/>
          <w:sz w:val="24"/>
          <w:szCs w:val="24"/>
        </w:rPr>
        <w:t xml:space="preserve"> and the rights of older adults throughout the four counties. </w:t>
      </w:r>
      <w:r w:rsidR="00C7697F" w:rsidRPr="00BA56E6">
        <w:rPr>
          <w:rFonts w:ascii="Times New Roman" w:hAnsi="Times New Roman" w:cs="Times New Roman"/>
          <w:sz w:val="24"/>
          <w:szCs w:val="24"/>
        </w:rPr>
        <w:t>See future planning in the ‘Targeting &amp; Outreach’ section.</w:t>
      </w:r>
    </w:p>
    <w:p w14:paraId="4F8A04EC" w14:textId="6EDE6BAE" w:rsidR="0029318D" w:rsidRPr="00A6669C" w:rsidRDefault="0029318D" w:rsidP="0029318D">
      <w:pPr>
        <w:pStyle w:val="ListParagraph"/>
        <w:rPr>
          <w:rFonts w:ascii="Times New Roman" w:hAnsi="Times New Roman" w:cs="Times New Roman"/>
          <w:sz w:val="24"/>
          <w:szCs w:val="24"/>
        </w:rPr>
      </w:pPr>
    </w:p>
    <w:p w14:paraId="14994B1D" w14:textId="02E4F604" w:rsidR="005043EC" w:rsidRPr="00A6669C" w:rsidRDefault="005043EC" w:rsidP="005043EC">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How will the AAA prioritize legal assistance in the form of advice or representation from the Legal Assistance Program during the next four (4) years</w:t>
      </w:r>
      <w:r w:rsidR="00F66D85" w:rsidRPr="00A6669C">
        <w:rPr>
          <w:rFonts w:ascii="Times New Roman" w:hAnsi="Times New Roman" w:cs="Times New Roman"/>
          <w:b/>
          <w:sz w:val="24"/>
          <w:szCs w:val="24"/>
        </w:rPr>
        <w:t xml:space="preserve"> for cases related to those identified in the Older Americans Act, including income, health care, long-term care, nutrition, housing, utilities</w:t>
      </w:r>
      <w:r w:rsidR="006C5EE2" w:rsidRPr="00A6669C">
        <w:rPr>
          <w:rFonts w:ascii="Times New Roman" w:hAnsi="Times New Roman" w:cs="Times New Roman"/>
          <w:b/>
          <w:sz w:val="24"/>
          <w:szCs w:val="24"/>
        </w:rPr>
        <w:t>, protective services, defense of guardianship, abuse, neglect, and age discrimination?</w:t>
      </w:r>
      <w:r w:rsidR="00DD180D" w:rsidRPr="00A6669C">
        <w:rPr>
          <w:rFonts w:ascii="Times New Roman" w:hAnsi="Times New Roman" w:cs="Times New Roman"/>
          <w:b/>
          <w:sz w:val="24"/>
          <w:szCs w:val="24"/>
        </w:rPr>
        <w:t xml:space="preserve"> </w:t>
      </w:r>
    </w:p>
    <w:p w14:paraId="00070E90" w14:textId="0EC994D7" w:rsidR="00D43132" w:rsidRPr="00BA56E6" w:rsidRDefault="00BC0A13" w:rsidP="00D43132">
      <w:pPr>
        <w:pStyle w:val="ListParagraph"/>
        <w:rPr>
          <w:rFonts w:ascii="Times New Roman" w:hAnsi="Times New Roman" w:cs="Times New Roman"/>
          <w:sz w:val="24"/>
          <w:szCs w:val="24"/>
        </w:rPr>
      </w:pPr>
      <w:r w:rsidRPr="00BA56E6">
        <w:rPr>
          <w:rFonts w:ascii="Times New Roman" w:hAnsi="Times New Roman" w:cs="Times New Roman"/>
          <w:sz w:val="24"/>
          <w:szCs w:val="24"/>
        </w:rPr>
        <w:t xml:space="preserve">Legal assistance providers may present </w:t>
      </w:r>
      <w:r w:rsidR="008D0B80" w:rsidRPr="00BA56E6">
        <w:rPr>
          <w:rFonts w:ascii="Times New Roman" w:hAnsi="Times New Roman" w:cs="Times New Roman"/>
          <w:sz w:val="24"/>
          <w:szCs w:val="24"/>
        </w:rPr>
        <w:t xml:space="preserve">at senior centers </w:t>
      </w:r>
      <w:r w:rsidRPr="00BA56E6">
        <w:rPr>
          <w:rFonts w:ascii="Times New Roman" w:hAnsi="Times New Roman" w:cs="Times New Roman"/>
          <w:sz w:val="24"/>
          <w:szCs w:val="24"/>
        </w:rPr>
        <w:t>on the various ser</w:t>
      </w:r>
      <w:r w:rsidR="002523FC" w:rsidRPr="00BA56E6">
        <w:rPr>
          <w:rFonts w:ascii="Times New Roman" w:hAnsi="Times New Roman" w:cs="Times New Roman"/>
          <w:sz w:val="24"/>
          <w:szCs w:val="24"/>
        </w:rPr>
        <w:t xml:space="preserve">vices identified in the OAA, in conjunction with </w:t>
      </w:r>
      <w:r w:rsidR="002B348B" w:rsidRPr="00BA56E6">
        <w:rPr>
          <w:rFonts w:ascii="Times New Roman" w:hAnsi="Times New Roman" w:cs="Times New Roman"/>
          <w:sz w:val="24"/>
          <w:szCs w:val="24"/>
        </w:rPr>
        <w:t xml:space="preserve">Colorado Disability Law’s support. </w:t>
      </w:r>
      <w:r w:rsidR="00865771" w:rsidRPr="00BA56E6">
        <w:rPr>
          <w:rFonts w:ascii="Times New Roman" w:hAnsi="Times New Roman" w:cs="Times New Roman"/>
          <w:sz w:val="24"/>
          <w:szCs w:val="24"/>
        </w:rPr>
        <w:t xml:space="preserve">See future planning in the </w:t>
      </w:r>
      <w:r w:rsidR="00DD180D" w:rsidRPr="00BA56E6">
        <w:rPr>
          <w:rFonts w:ascii="Times New Roman" w:hAnsi="Times New Roman" w:cs="Times New Roman"/>
          <w:sz w:val="24"/>
          <w:szCs w:val="24"/>
        </w:rPr>
        <w:t>‘Targeting &amp; Outreach’ section.</w:t>
      </w:r>
    </w:p>
    <w:p w14:paraId="182FE23D" w14:textId="77777777" w:rsidR="00D43132" w:rsidRPr="00A6669C" w:rsidRDefault="00D43132" w:rsidP="00D43132">
      <w:pPr>
        <w:pStyle w:val="ListParagraph"/>
        <w:rPr>
          <w:rFonts w:ascii="Times New Roman" w:hAnsi="Times New Roman" w:cs="Times New Roman"/>
          <w:sz w:val="24"/>
          <w:szCs w:val="24"/>
        </w:rPr>
      </w:pPr>
    </w:p>
    <w:p w14:paraId="7BBABEE4" w14:textId="20EB1D6E" w:rsidR="006C5EE2" w:rsidRPr="00A6669C" w:rsidRDefault="006C5EE2" w:rsidP="005043EC">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 xml:space="preserve">What challenges does the AAA </w:t>
      </w:r>
      <w:r w:rsidR="006A19D8" w:rsidRPr="00A6669C">
        <w:rPr>
          <w:rFonts w:ascii="Times New Roman" w:hAnsi="Times New Roman" w:cs="Times New Roman"/>
          <w:b/>
          <w:sz w:val="24"/>
          <w:szCs w:val="24"/>
        </w:rPr>
        <w:t>anticipate to ensuring that the Legal Assistance provider is able and willing to provide representation for these issues and how will the AAA address these challenges?</w:t>
      </w:r>
    </w:p>
    <w:p w14:paraId="4F8F2640" w14:textId="0861F751" w:rsidR="00D43132" w:rsidRPr="00BA56E6" w:rsidRDefault="005A7C17" w:rsidP="00D43132">
      <w:pPr>
        <w:pStyle w:val="ListParagraph"/>
        <w:rPr>
          <w:rFonts w:ascii="Times New Roman" w:hAnsi="Times New Roman" w:cs="Times New Roman"/>
          <w:sz w:val="24"/>
          <w:szCs w:val="24"/>
        </w:rPr>
      </w:pPr>
      <w:r w:rsidRPr="00BA56E6">
        <w:rPr>
          <w:rFonts w:ascii="Times New Roman" w:hAnsi="Times New Roman" w:cs="Times New Roman"/>
          <w:sz w:val="24"/>
          <w:szCs w:val="24"/>
        </w:rPr>
        <w:t xml:space="preserve">East Central AAA is </w:t>
      </w:r>
      <w:r w:rsidR="007E4E6C" w:rsidRPr="00BA56E6">
        <w:rPr>
          <w:rFonts w:ascii="Times New Roman" w:hAnsi="Times New Roman" w:cs="Times New Roman"/>
          <w:sz w:val="24"/>
          <w:szCs w:val="24"/>
        </w:rPr>
        <w:t>weary of the capacity of the Legal Assistance provider being able to represent multiple individuals across the va</w:t>
      </w:r>
      <w:r w:rsidR="00C42751" w:rsidRPr="00BA56E6">
        <w:rPr>
          <w:rFonts w:ascii="Times New Roman" w:hAnsi="Times New Roman" w:cs="Times New Roman"/>
          <w:sz w:val="24"/>
          <w:szCs w:val="24"/>
        </w:rPr>
        <w:t xml:space="preserve">rious cases identified in the OAA. To combat this, the AAA will </w:t>
      </w:r>
      <w:r w:rsidR="00D70315" w:rsidRPr="00BA56E6">
        <w:rPr>
          <w:rFonts w:ascii="Times New Roman" w:hAnsi="Times New Roman" w:cs="Times New Roman"/>
          <w:sz w:val="24"/>
          <w:szCs w:val="24"/>
        </w:rPr>
        <w:t>look for guidance and assistance form Colorado Disability Law and other local Legal providers to help fill gaps where the existing provider may lack</w:t>
      </w:r>
      <w:r w:rsidR="00572125" w:rsidRPr="00BA56E6">
        <w:rPr>
          <w:rFonts w:ascii="Times New Roman" w:hAnsi="Times New Roman" w:cs="Times New Roman"/>
          <w:sz w:val="24"/>
          <w:szCs w:val="24"/>
        </w:rPr>
        <w:t xml:space="preserve"> the capacity to serve the needs of more individuals.</w:t>
      </w:r>
    </w:p>
    <w:p w14:paraId="439D6C81" w14:textId="77777777" w:rsidR="00BA6257" w:rsidRPr="00A6669C" w:rsidRDefault="00BA6257" w:rsidP="00D43132">
      <w:pPr>
        <w:pStyle w:val="ListParagraph"/>
        <w:rPr>
          <w:rFonts w:ascii="Times New Roman" w:hAnsi="Times New Roman" w:cs="Times New Roman"/>
          <w:sz w:val="24"/>
          <w:szCs w:val="24"/>
        </w:rPr>
      </w:pPr>
    </w:p>
    <w:p w14:paraId="5EF2D5F6" w14:textId="77740496" w:rsidR="006A19D8" w:rsidRPr="00A6669C" w:rsidRDefault="006A19D8" w:rsidP="005043EC">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PACE Ombudsman (if applicable): For the local programs that have a PACE organization in your area, what are your ideas to address the growth?</w:t>
      </w:r>
    </w:p>
    <w:p w14:paraId="6D334411" w14:textId="2A8B3EF9" w:rsidR="00D43132" w:rsidRPr="00A6669C" w:rsidRDefault="00453678" w:rsidP="00D43132">
      <w:pPr>
        <w:pStyle w:val="ListParagraph"/>
        <w:rPr>
          <w:rFonts w:ascii="Times New Roman" w:hAnsi="Times New Roman" w:cs="Times New Roman"/>
          <w:sz w:val="24"/>
          <w:szCs w:val="24"/>
        </w:rPr>
      </w:pPr>
      <w:r w:rsidRPr="00A6669C">
        <w:rPr>
          <w:rFonts w:ascii="Times New Roman" w:hAnsi="Times New Roman" w:cs="Times New Roman"/>
          <w:sz w:val="24"/>
          <w:szCs w:val="24"/>
        </w:rPr>
        <w:t>N/A</w:t>
      </w:r>
    </w:p>
    <w:p w14:paraId="4A6704E3" w14:textId="77777777" w:rsidR="00D43132" w:rsidRPr="00A6669C" w:rsidRDefault="00D43132" w:rsidP="00D43132">
      <w:pPr>
        <w:pStyle w:val="ListParagraph"/>
        <w:rPr>
          <w:rFonts w:ascii="Times New Roman" w:hAnsi="Times New Roman" w:cs="Times New Roman"/>
          <w:sz w:val="24"/>
          <w:szCs w:val="24"/>
        </w:rPr>
      </w:pPr>
    </w:p>
    <w:p w14:paraId="5F28F1EF" w14:textId="01D5EEB5" w:rsidR="00AE3D4B" w:rsidRPr="00A6669C" w:rsidRDefault="00AE3D4B" w:rsidP="00AE3D4B">
      <w:pPr>
        <w:pStyle w:val="Heading3"/>
        <w:rPr>
          <w:rFonts w:ascii="Times New Roman" w:hAnsi="Times New Roman" w:cs="Times New Roman"/>
        </w:rPr>
      </w:pPr>
      <w:bookmarkStart w:id="12" w:name="_Toc130291154"/>
      <w:r w:rsidRPr="00A6669C">
        <w:rPr>
          <w:rFonts w:ascii="Times New Roman" w:hAnsi="Times New Roman" w:cs="Times New Roman"/>
        </w:rPr>
        <w:t>Other Services</w:t>
      </w:r>
      <w:bookmarkEnd w:id="12"/>
    </w:p>
    <w:p w14:paraId="564805B3" w14:textId="7AF48333" w:rsidR="00AE3D4B" w:rsidRPr="00A6669C" w:rsidRDefault="00291B52" w:rsidP="00AE3D4B">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are the AAA’s plans related to providing evidence-based health promotion or disease prevention programs?</w:t>
      </w:r>
    </w:p>
    <w:p w14:paraId="52B26E70" w14:textId="76178634" w:rsidR="00572125" w:rsidRDefault="00572125" w:rsidP="00572125">
      <w:pPr>
        <w:pStyle w:val="ListParagraph"/>
        <w:rPr>
          <w:rFonts w:ascii="Times New Roman" w:hAnsi="Times New Roman" w:cs="Times New Roman"/>
          <w:sz w:val="24"/>
          <w:szCs w:val="24"/>
        </w:rPr>
      </w:pPr>
      <w:r w:rsidRPr="00AD0D44">
        <w:rPr>
          <w:rFonts w:ascii="Times New Roman" w:hAnsi="Times New Roman" w:cs="Times New Roman"/>
          <w:sz w:val="24"/>
          <w:szCs w:val="24"/>
        </w:rPr>
        <w:t xml:space="preserve">The AAA </w:t>
      </w:r>
      <w:r w:rsidR="00C713D8" w:rsidRPr="00AD0D44">
        <w:rPr>
          <w:rFonts w:ascii="Times New Roman" w:hAnsi="Times New Roman" w:cs="Times New Roman"/>
          <w:sz w:val="24"/>
          <w:szCs w:val="24"/>
        </w:rPr>
        <w:t xml:space="preserve">plans to </w:t>
      </w:r>
      <w:r w:rsidR="00363589" w:rsidRPr="00AD0D44">
        <w:rPr>
          <w:rFonts w:ascii="Times New Roman" w:hAnsi="Times New Roman" w:cs="Times New Roman"/>
          <w:sz w:val="24"/>
          <w:szCs w:val="24"/>
        </w:rPr>
        <w:t xml:space="preserve">restore previous agreements with the Independence Center to </w:t>
      </w:r>
      <w:r w:rsidR="00607C56" w:rsidRPr="00AD0D44">
        <w:rPr>
          <w:rFonts w:ascii="Times New Roman" w:hAnsi="Times New Roman" w:cs="Times New Roman"/>
          <w:sz w:val="24"/>
          <w:szCs w:val="24"/>
        </w:rPr>
        <w:t xml:space="preserve">offer more regionwide Evidence Based </w:t>
      </w:r>
      <w:r w:rsidR="00734B54" w:rsidRPr="00AD0D44">
        <w:rPr>
          <w:rFonts w:ascii="Times New Roman" w:hAnsi="Times New Roman" w:cs="Times New Roman"/>
          <w:sz w:val="24"/>
          <w:szCs w:val="24"/>
        </w:rPr>
        <w:t xml:space="preserve">health promotional programs. ECCOG </w:t>
      </w:r>
      <w:r w:rsidR="0004462F" w:rsidRPr="00AD0D44">
        <w:rPr>
          <w:rFonts w:ascii="Times New Roman" w:hAnsi="Times New Roman" w:cs="Times New Roman"/>
          <w:sz w:val="24"/>
          <w:szCs w:val="24"/>
        </w:rPr>
        <w:t>joined with the Fresh Conversations and Text 2 Live Healthy</w:t>
      </w:r>
      <w:r w:rsidR="00FB0AD9" w:rsidRPr="00AD0D44">
        <w:rPr>
          <w:rFonts w:ascii="Times New Roman" w:hAnsi="Times New Roman" w:cs="Times New Roman"/>
          <w:sz w:val="24"/>
          <w:szCs w:val="24"/>
        </w:rPr>
        <w:t xml:space="preserve"> (T2LH)</w:t>
      </w:r>
      <w:r w:rsidR="0004462F" w:rsidRPr="00AD0D44">
        <w:rPr>
          <w:rFonts w:ascii="Times New Roman" w:hAnsi="Times New Roman" w:cs="Times New Roman"/>
          <w:sz w:val="24"/>
          <w:szCs w:val="24"/>
        </w:rPr>
        <w:t xml:space="preserve"> initiatives to promote </w:t>
      </w:r>
      <w:r w:rsidR="00E6255F" w:rsidRPr="00AD0D44">
        <w:rPr>
          <w:rFonts w:ascii="Times New Roman" w:hAnsi="Times New Roman" w:cs="Times New Roman"/>
          <w:sz w:val="24"/>
          <w:szCs w:val="24"/>
        </w:rPr>
        <w:t xml:space="preserve">more nutritional and disease prevention information across the region to both English and Spanish residents. </w:t>
      </w:r>
      <w:r w:rsidR="005E6D54" w:rsidRPr="00AD0D44">
        <w:rPr>
          <w:rFonts w:ascii="Times New Roman" w:hAnsi="Times New Roman" w:cs="Times New Roman"/>
          <w:sz w:val="24"/>
          <w:szCs w:val="24"/>
        </w:rPr>
        <w:t xml:space="preserve">East Central AAA will also form a partnership with Centennial Mental </w:t>
      </w:r>
      <w:r w:rsidR="005E6D54" w:rsidRPr="00AD0D44">
        <w:rPr>
          <w:rFonts w:ascii="Times New Roman" w:hAnsi="Times New Roman" w:cs="Times New Roman"/>
          <w:sz w:val="24"/>
          <w:szCs w:val="24"/>
        </w:rPr>
        <w:lastRenderedPageBreak/>
        <w:t xml:space="preserve">Health to provide Evidence Based mental health services and programs for </w:t>
      </w:r>
      <w:r w:rsidR="007C1CFC" w:rsidRPr="00AD0D44">
        <w:rPr>
          <w:rFonts w:ascii="Times New Roman" w:hAnsi="Times New Roman" w:cs="Times New Roman"/>
          <w:sz w:val="24"/>
          <w:szCs w:val="24"/>
        </w:rPr>
        <w:t xml:space="preserve">the four counties. </w:t>
      </w:r>
    </w:p>
    <w:p w14:paraId="6F44474D" w14:textId="77777777" w:rsidR="00BA56E6" w:rsidRPr="00AD0D44" w:rsidRDefault="00BA56E6" w:rsidP="00572125">
      <w:pPr>
        <w:pStyle w:val="ListParagraph"/>
        <w:rPr>
          <w:rFonts w:ascii="Times New Roman" w:hAnsi="Times New Roman" w:cs="Times New Roman"/>
          <w:sz w:val="24"/>
          <w:szCs w:val="24"/>
        </w:rPr>
      </w:pPr>
    </w:p>
    <w:p w14:paraId="4F4D5443" w14:textId="420C0296" w:rsidR="00291B52" w:rsidRPr="00A6669C" w:rsidRDefault="00291B52" w:rsidP="00AE3D4B">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In addition to funding received through the Older Americans Act (OAA) and State Funding for Senior Services (SFSS), what other funds are received by the AAA to provide services for older adults</w:t>
      </w:r>
      <w:r w:rsidR="007418FD" w:rsidRPr="00A6669C">
        <w:rPr>
          <w:rFonts w:ascii="Times New Roman" w:hAnsi="Times New Roman" w:cs="Times New Roman"/>
          <w:b/>
          <w:sz w:val="24"/>
          <w:szCs w:val="24"/>
        </w:rPr>
        <w:t xml:space="preserve"> (e.g., Senio</w:t>
      </w:r>
      <w:r w:rsidR="00C40EBB" w:rsidRPr="00A6669C">
        <w:rPr>
          <w:rFonts w:ascii="Times New Roman" w:hAnsi="Times New Roman" w:cs="Times New Roman"/>
          <w:b/>
          <w:sz w:val="24"/>
          <w:szCs w:val="24"/>
        </w:rPr>
        <w:t>r</w:t>
      </w:r>
      <w:r w:rsidR="007418FD" w:rsidRPr="00A6669C">
        <w:rPr>
          <w:rFonts w:ascii="Times New Roman" w:hAnsi="Times New Roman" w:cs="Times New Roman"/>
          <w:b/>
          <w:sz w:val="24"/>
          <w:szCs w:val="24"/>
        </w:rPr>
        <w:t xml:space="preserve"> Health Insurance Assistance, Colorado Choice Transitions, etc.)?</w:t>
      </w:r>
    </w:p>
    <w:p w14:paraId="6D1ABB5E" w14:textId="7DC55885" w:rsidR="00C40EBB" w:rsidRPr="00AD0D44" w:rsidRDefault="00C40EBB" w:rsidP="00C40EBB">
      <w:pPr>
        <w:pStyle w:val="ListParagraph"/>
        <w:rPr>
          <w:rFonts w:ascii="Times New Roman" w:hAnsi="Times New Roman" w:cs="Times New Roman"/>
          <w:sz w:val="24"/>
          <w:szCs w:val="24"/>
        </w:rPr>
      </w:pPr>
      <w:r w:rsidRPr="00AD0D44">
        <w:rPr>
          <w:rFonts w:ascii="Times New Roman" w:hAnsi="Times New Roman" w:cs="Times New Roman"/>
          <w:sz w:val="24"/>
          <w:szCs w:val="24"/>
        </w:rPr>
        <w:t xml:space="preserve">Other than OAA and SFSS funds, the Colorado Department of Transportation </w:t>
      </w:r>
      <w:r w:rsidR="00EB4999" w:rsidRPr="00AD0D44">
        <w:rPr>
          <w:rFonts w:ascii="Times New Roman" w:hAnsi="Times New Roman" w:cs="Times New Roman"/>
          <w:sz w:val="24"/>
          <w:szCs w:val="24"/>
        </w:rPr>
        <w:t>provides funds to support the transportation system known as Outback Express. These funds help procure vehicles</w:t>
      </w:r>
      <w:r w:rsidR="000437BB" w:rsidRPr="00AD0D44">
        <w:rPr>
          <w:rFonts w:ascii="Times New Roman" w:hAnsi="Times New Roman" w:cs="Times New Roman"/>
          <w:sz w:val="24"/>
          <w:szCs w:val="24"/>
        </w:rPr>
        <w:t xml:space="preserve"> and provide operation and </w:t>
      </w:r>
      <w:r w:rsidR="00D46C13" w:rsidRPr="00AD0D44">
        <w:rPr>
          <w:rFonts w:ascii="Times New Roman" w:hAnsi="Times New Roman" w:cs="Times New Roman"/>
          <w:sz w:val="24"/>
          <w:szCs w:val="24"/>
        </w:rPr>
        <w:t>administration funds that facilitate</w:t>
      </w:r>
      <w:r w:rsidR="000437BB" w:rsidRPr="00AD0D44">
        <w:rPr>
          <w:rFonts w:ascii="Times New Roman" w:hAnsi="Times New Roman" w:cs="Times New Roman"/>
          <w:sz w:val="24"/>
          <w:szCs w:val="24"/>
        </w:rPr>
        <w:t xml:space="preserve"> the transit program for older adults and the public. </w:t>
      </w:r>
    </w:p>
    <w:p w14:paraId="3832DF7B" w14:textId="039D8D8B" w:rsidR="00047AF9" w:rsidRPr="00A6669C" w:rsidRDefault="00047AF9" w:rsidP="00047AF9">
      <w:pPr>
        <w:pStyle w:val="Heading3"/>
        <w:rPr>
          <w:rFonts w:ascii="Times New Roman" w:hAnsi="Times New Roman" w:cs="Times New Roman"/>
        </w:rPr>
      </w:pPr>
      <w:bookmarkStart w:id="13" w:name="_Toc130291155"/>
      <w:r w:rsidRPr="00A6669C">
        <w:rPr>
          <w:rFonts w:ascii="Times New Roman" w:hAnsi="Times New Roman" w:cs="Times New Roman"/>
        </w:rPr>
        <w:t>Targeting and Outreach</w:t>
      </w:r>
      <w:bookmarkEnd w:id="13"/>
    </w:p>
    <w:p w14:paraId="4D5BE96D" w14:textId="7F048561" w:rsidR="00047AF9" w:rsidRPr="00A6669C" w:rsidRDefault="00D001BC" w:rsidP="00047AF9">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are some successes the AAA has used that improved access and utilization of services by individuals who are at greatest social and economic need?</w:t>
      </w:r>
    </w:p>
    <w:p w14:paraId="72CE3410" w14:textId="7AFF0855" w:rsidR="00D46C13" w:rsidRPr="00564044" w:rsidRDefault="007B54DC" w:rsidP="00D46C13">
      <w:pPr>
        <w:pStyle w:val="ListParagraph"/>
        <w:rPr>
          <w:rFonts w:ascii="Times New Roman" w:hAnsi="Times New Roman" w:cs="Times New Roman"/>
          <w:sz w:val="24"/>
          <w:szCs w:val="24"/>
        </w:rPr>
      </w:pPr>
      <w:r w:rsidRPr="00564044">
        <w:rPr>
          <w:rFonts w:ascii="Times New Roman" w:hAnsi="Times New Roman" w:cs="Times New Roman"/>
          <w:sz w:val="24"/>
          <w:szCs w:val="24"/>
        </w:rPr>
        <w:t xml:space="preserve">Beginning in 2023, ECCOG </w:t>
      </w:r>
      <w:r w:rsidR="0056743A" w:rsidRPr="00564044">
        <w:rPr>
          <w:rFonts w:ascii="Times New Roman" w:hAnsi="Times New Roman" w:cs="Times New Roman"/>
          <w:sz w:val="24"/>
          <w:szCs w:val="24"/>
        </w:rPr>
        <w:t xml:space="preserve">expanded the material assistance program Project HelpMATE to offer Home-Modification assistance. </w:t>
      </w:r>
      <w:r w:rsidR="00E9416A" w:rsidRPr="00564044">
        <w:rPr>
          <w:rFonts w:ascii="Times New Roman" w:hAnsi="Times New Roman" w:cs="Times New Roman"/>
          <w:sz w:val="24"/>
          <w:szCs w:val="24"/>
        </w:rPr>
        <w:t>This provided clarity on how much assistance could be provided to individuals for the material costs</w:t>
      </w:r>
      <w:r w:rsidR="00836A16" w:rsidRPr="00564044">
        <w:rPr>
          <w:rFonts w:ascii="Times New Roman" w:hAnsi="Times New Roman" w:cs="Times New Roman"/>
          <w:sz w:val="24"/>
          <w:szCs w:val="24"/>
        </w:rPr>
        <w:t xml:space="preserve"> related to modifying their homes</w:t>
      </w:r>
      <w:r w:rsidR="00EE3433" w:rsidRPr="00564044">
        <w:rPr>
          <w:rFonts w:ascii="Times New Roman" w:hAnsi="Times New Roman" w:cs="Times New Roman"/>
          <w:sz w:val="24"/>
          <w:szCs w:val="24"/>
        </w:rPr>
        <w:t>.</w:t>
      </w:r>
      <w:r w:rsidR="00673474" w:rsidRPr="00564044">
        <w:rPr>
          <w:rFonts w:ascii="Times New Roman" w:hAnsi="Times New Roman" w:cs="Times New Roman"/>
          <w:sz w:val="24"/>
          <w:szCs w:val="24"/>
        </w:rPr>
        <w:t xml:space="preserve"> This helps the older adults remain </w:t>
      </w:r>
      <w:r w:rsidR="00836A16" w:rsidRPr="00564044">
        <w:rPr>
          <w:rFonts w:ascii="Times New Roman" w:hAnsi="Times New Roman" w:cs="Times New Roman"/>
          <w:sz w:val="24"/>
          <w:szCs w:val="24"/>
        </w:rPr>
        <w:t xml:space="preserve">safe, </w:t>
      </w:r>
      <w:r w:rsidR="0061695C" w:rsidRPr="00564044">
        <w:rPr>
          <w:rFonts w:ascii="Times New Roman" w:hAnsi="Times New Roman" w:cs="Times New Roman"/>
          <w:sz w:val="24"/>
          <w:szCs w:val="24"/>
        </w:rPr>
        <w:t>secure,</w:t>
      </w:r>
      <w:r w:rsidR="00673474" w:rsidRPr="00564044">
        <w:rPr>
          <w:rFonts w:ascii="Times New Roman" w:hAnsi="Times New Roman" w:cs="Times New Roman"/>
          <w:sz w:val="24"/>
          <w:szCs w:val="24"/>
        </w:rPr>
        <w:t xml:space="preserve"> </w:t>
      </w:r>
      <w:r w:rsidR="00836A16" w:rsidRPr="00564044">
        <w:rPr>
          <w:rFonts w:ascii="Times New Roman" w:hAnsi="Times New Roman" w:cs="Times New Roman"/>
          <w:sz w:val="24"/>
          <w:szCs w:val="24"/>
        </w:rPr>
        <w:t xml:space="preserve">and </w:t>
      </w:r>
      <w:r w:rsidR="00673474" w:rsidRPr="00564044">
        <w:rPr>
          <w:rFonts w:ascii="Times New Roman" w:hAnsi="Times New Roman" w:cs="Times New Roman"/>
          <w:sz w:val="24"/>
          <w:szCs w:val="24"/>
        </w:rPr>
        <w:t xml:space="preserve">independent in their </w:t>
      </w:r>
      <w:r w:rsidR="00E73DB8" w:rsidRPr="00564044">
        <w:rPr>
          <w:rFonts w:ascii="Times New Roman" w:hAnsi="Times New Roman" w:cs="Times New Roman"/>
          <w:sz w:val="24"/>
          <w:szCs w:val="24"/>
        </w:rPr>
        <w:t xml:space="preserve">homes. </w:t>
      </w:r>
    </w:p>
    <w:p w14:paraId="5870D8EE" w14:textId="23BDFDEA" w:rsidR="00D001BC" w:rsidRPr="00A6669C" w:rsidRDefault="00EA3DBE" w:rsidP="00047AF9">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strategies will the AAA use to raise awareness of the services provided over the four years of the Area Plan to target populations?</w:t>
      </w:r>
    </w:p>
    <w:p w14:paraId="66AFA9AF" w14:textId="241BC6AC" w:rsidR="007B54DC" w:rsidRPr="00564044" w:rsidRDefault="00E4542B" w:rsidP="007B54DC">
      <w:pPr>
        <w:pStyle w:val="ListParagraph"/>
        <w:rPr>
          <w:rFonts w:ascii="Times New Roman" w:hAnsi="Times New Roman" w:cs="Times New Roman"/>
          <w:sz w:val="24"/>
          <w:szCs w:val="24"/>
        </w:rPr>
      </w:pPr>
      <w:r w:rsidRPr="00564044">
        <w:rPr>
          <w:rFonts w:ascii="Times New Roman" w:hAnsi="Times New Roman" w:cs="Times New Roman"/>
          <w:sz w:val="24"/>
          <w:szCs w:val="24"/>
        </w:rPr>
        <w:t>ECCOG will complet</w:t>
      </w:r>
      <w:r w:rsidR="006E7696" w:rsidRPr="00564044">
        <w:rPr>
          <w:rFonts w:ascii="Times New Roman" w:hAnsi="Times New Roman" w:cs="Times New Roman"/>
          <w:sz w:val="24"/>
          <w:szCs w:val="24"/>
        </w:rPr>
        <w:t>e</w:t>
      </w:r>
      <w:r w:rsidRPr="00564044">
        <w:rPr>
          <w:rFonts w:ascii="Times New Roman" w:hAnsi="Times New Roman" w:cs="Times New Roman"/>
          <w:sz w:val="24"/>
          <w:szCs w:val="24"/>
        </w:rPr>
        <w:t xml:space="preserve"> their updates to existing print materials and brochures to help with some of the outreach</w:t>
      </w:r>
      <w:r w:rsidR="00BD6D37" w:rsidRPr="00564044">
        <w:rPr>
          <w:rFonts w:ascii="Times New Roman" w:hAnsi="Times New Roman" w:cs="Times New Roman"/>
          <w:sz w:val="24"/>
          <w:szCs w:val="24"/>
        </w:rPr>
        <w:t>.</w:t>
      </w:r>
      <w:r w:rsidRPr="00564044">
        <w:rPr>
          <w:rFonts w:ascii="Times New Roman" w:hAnsi="Times New Roman" w:cs="Times New Roman"/>
          <w:sz w:val="24"/>
          <w:szCs w:val="24"/>
        </w:rPr>
        <w:t xml:space="preserve"> </w:t>
      </w:r>
      <w:r w:rsidR="00BD6D37" w:rsidRPr="00564044">
        <w:rPr>
          <w:rFonts w:ascii="Times New Roman" w:hAnsi="Times New Roman" w:cs="Times New Roman"/>
          <w:sz w:val="24"/>
          <w:szCs w:val="24"/>
        </w:rPr>
        <w:t>A</w:t>
      </w:r>
      <w:r w:rsidRPr="00564044">
        <w:rPr>
          <w:rFonts w:ascii="Times New Roman" w:hAnsi="Times New Roman" w:cs="Times New Roman"/>
          <w:sz w:val="24"/>
          <w:szCs w:val="24"/>
        </w:rPr>
        <w:t xml:space="preserve">long with assistance from the bilingual contractor, </w:t>
      </w:r>
      <w:r w:rsidR="006E7696" w:rsidRPr="00564044">
        <w:rPr>
          <w:rFonts w:ascii="Times New Roman" w:hAnsi="Times New Roman" w:cs="Times New Roman"/>
          <w:sz w:val="24"/>
          <w:szCs w:val="24"/>
        </w:rPr>
        <w:t>those print materials will be translated into Spanish</w:t>
      </w:r>
      <w:r w:rsidR="00BD6D37" w:rsidRPr="00564044">
        <w:rPr>
          <w:rFonts w:ascii="Times New Roman" w:hAnsi="Times New Roman" w:cs="Times New Roman"/>
          <w:sz w:val="24"/>
          <w:szCs w:val="24"/>
        </w:rPr>
        <w:t xml:space="preserve">. </w:t>
      </w:r>
      <w:r w:rsidR="003D6A11" w:rsidRPr="00564044">
        <w:rPr>
          <w:rFonts w:ascii="Times New Roman" w:hAnsi="Times New Roman" w:cs="Times New Roman"/>
          <w:sz w:val="24"/>
          <w:szCs w:val="24"/>
        </w:rPr>
        <w:t xml:space="preserve">The AAA will also </w:t>
      </w:r>
      <w:r w:rsidR="00135D51" w:rsidRPr="00564044">
        <w:rPr>
          <w:rFonts w:ascii="Times New Roman" w:hAnsi="Times New Roman" w:cs="Times New Roman"/>
          <w:sz w:val="24"/>
          <w:szCs w:val="24"/>
        </w:rPr>
        <w:t>offer</w:t>
      </w:r>
      <w:r w:rsidR="003D6A11" w:rsidRPr="00564044">
        <w:rPr>
          <w:rFonts w:ascii="Times New Roman" w:hAnsi="Times New Roman" w:cs="Times New Roman"/>
          <w:sz w:val="24"/>
          <w:szCs w:val="24"/>
        </w:rPr>
        <w:t xml:space="preserve"> community outreach meetings </w:t>
      </w:r>
      <w:r w:rsidR="00EC6ECB" w:rsidRPr="00564044">
        <w:rPr>
          <w:rFonts w:ascii="Times New Roman" w:hAnsi="Times New Roman" w:cs="Times New Roman"/>
          <w:sz w:val="24"/>
          <w:szCs w:val="24"/>
        </w:rPr>
        <w:t>annually starting in late 2024</w:t>
      </w:r>
      <w:r w:rsidR="00135D51" w:rsidRPr="00564044">
        <w:rPr>
          <w:rFonts w:ascii="Times New Roman" w:hAnsi="Times New Roman" w:cs="Times New Roman"/>
          <w:sz w:val="24"/>
          <w:szCs w:val="24"/>
        </w:rPr>
        <w:t>,</w:t>
      </w:r>
      <w:r w:rsidR="00EC6ECB" w:rsidRPr="00564044">
        <w:rPr>
          <w:rFonts w:ascii="Times New Roman" w:hAnsi="Times New Roman" w:cs="Times New Roman"/>
          <w:sz w:val="24"/>
          <w:szCs w:val="24"/>
        </w:rPr>
        <w:t xml:space="preserve"> to educate older adults and their family members of services and programs available. </w:t>
      </w:r>
      <w:r w:rsidR="00E7418C" w:rsidRPr="00564044">
        <w:rPr>
          <w:rFonts w:ascii="Times New Roman" w:hAnsi="Times New Roman" w:cs="Times New Roman"/>
          <w:sz w:val="24"/>
          <w:szCs w:val="24"/>
        </w:rPr>
        <w:t>Through e</w:t>
      </w:r>
      <w:r w:rsidR="00522C89" w:rsidRPr="00564044">
        <w:rPr>
          <w:rFonts w:ascii="Times New Roman" w:hAnsi="Times New Roman" w:cs="Times New Roman"/>
          <w:sz w:val="24"/>
          <w:szCs w:val="24"/>
        </w:rPr>
        <w:t>x</w:t>
      </w:r>
      <w:r w:rsidR="002D0DBF" w:rsidRPr="00564044">
        <w:rPr>
          <w:rFonts w:ascii="Times New Roman" w:hAnsi="Times New Roman" w:cs="Times New Roman"/>
          <w:sz w:val="24"/>
          <w:szCs w:val="24"/>
        </w:rPr>
        <w:t xml:space="preserve">tended </w:t>
      </w:r>
      <w:r w:rsidR="00BA73D9" w:rsidRPr="00564044">
        <w:rPr>
          <w:rFonts w:ascii="Times New Roman" w:hAnsi="Times New Roman" w:cs="Times New Roman"/>
          <w:sz w:val="24"/>
          <w:szCs w:val="24"/>
        </w:rPr>
        <w:t xml:space="preserve">field </w:t>
      </w:r>
      <w:r w:rsidR="002D0DBF" w:rsidRPr="00564044">
        <w:rPr>
          <w:rFonts w:ascii="Times New Roman" w:hAnsi="Times New Roman" w:cs="Times New Roman"/>
          <w:sz w:val="24"/>
          <w:szCs w:val="24"/>
        </w:rPr>
        <w:t>staff training</w:t>
      </w:r>
      <w:r w:rsidR="00ED6963" w:rsidRPr="00564044">
        <w:rPr>
          <w:rFonts w:ascii="Times New Roman" w:hAnsi="Times New Roman" w:cs="Times New Roman"/>
          <w:sz w:val="24"/>
          <w:szCs w:val="24"/>
        </w:rPr>
        <w:t>,</w:t>
      </w:r>
      <w:r w:rsidR="00FD0BB2" w:rsidRPr="00564044">
        <w:rPr>
          <w:rFonts w:ascii="Times New Roman" w:hAnsi="Times New Roman" w:cs="Times New Roman"/>
          <w:sz w:val="24"/>
          <w:szCs w:val="24"/>
        </w:rPr>
        <w:t xml:space="preserve"> the region will have</w:t>
      </w:r>
      <w:r w:rsidR="002D0DBF" w:rsidRPr="00564044">
        <w:rPr>
          <w:rFonts w:ascii="Times New Roman" w:hAnsi="Times New Roman" w:cs="Times New Roman"/>
          <w:sz w:val="24"/>
          <w:szCs w:val="24"/>
        </w:rPr>
        <w:t xml:space="preserve"> more </w:t>
      </w:r>
      <w:r w:rsidR="006248D5" w:rsidRPr="00564044">
        <w:rPr>
          <w:rFonts w:ascii="Times New Roman" w:hAnsi="Times New Roman" w:cs="Times New Roman"/>
          <w:sz w:val="24"/>
          <w:szCs w:val="24"/>
        </w:rPr>
        <w:t xml:space="preserve">consistent outreach and information dissemination. </w:t>
      </w:r>
    </w:p>
    <w:p w14:paraId="073E5900" w14:textId="24136454" w:rsidR="007B36FE" w:rsidRPr="00A6669C" w:rsidRDefault="007B36FE" w:rsidP="007B36FE">
      <w:pPr>
        <w:pStyle w:val="Heading3"/>
        <w:rPr>
          <w:rFonts w:ascii="Times New Roman" w:hAnsi="Times New Roman" w:cs="Times New Roman"/>
        </w:rPr>
      </w:pPr>
      <w:bookmarkStart w:id="14" w:name="_Toc130291156"/>
      <w:r w:rsidRPr="00A6669C">
        <w:rPr>
          <w:rFonts w:ascii="Times New Roman" w:hAnsi="Times New Roman" w:cs="Times New Roman"/>
        </w:rPr>
        <w:t>Innovation and Expansion of Services</w:t>
      </w:r>
      <w:bookmarkEnd w:id="14"/>
    </w:p>
    <w:p w14:paraId="74B32607" w14:textId="5CA5A221" w:rsidR="007B36FE" w:rsidRPr="00A6669C" w:rsidRDefault="007B36FE" w:rsidP="007B36FE">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type of innovations is the AAA planning to try during the next four years to improve the quality and availability of services provided or funded by the AAA?</w:t>
      </w:r>
    </w:p>
    <w:p w14:paraId="6822CD21" w14:textId="66E6F898" w:rsidR="00281E42" w:rsidRPr="00564044" w:rsidRDefault="00B66E97" w:rsidP="00281E42">
      <w:pPr>
        <w:pStyle w:val="ListParagraph"/>
        <w:rPr>
          <w:rFonts w:ascii="Times New Roman" w:hAnsi="Times New Roman" w:cs="Times New Roman"/>
          <w:sz w:val="24"/>
          <w:szCs w:val="24"/>
        </w:rPr>
      </w:pPr>
      <w:r w:rsidRPr="00564044">
        <w:rPr>
          <w:rFonts w:ascii="Times New Roman" w:hAnsi="Times New Roman" w:cs="Times New Roman"/>
          <w:sz w:val="24"/>
          <w:szCs w:val="24"/>
        </w:rPr>
        <w:t xml:space="preserve">Technology training and assistance classes/workshops will be provided to help educate older adults on using technology. </w:t>
      </w:r>
      <w:r w:rsidR="00A737AC" w:rsidRPr="00564044">
        <w:rPr>
          <w:rFonts w:ascii="Times New Roman" w:hAnsi="Times New Roman" w:cs="Times New Roman"/>
          <w:sz w:val="24"/>
          <w:szCs w:val="24"/>
        </w:rPr>
        <w:t>This would improve their</w:t>
      </w:r>
      <w:r w:rsidR="006E1D06" w:rsidRPr="00564044">
        <w:rPr>
          <w:rFonts w:ascii="Times New Roman" w:hAnsi="Times New Roman" w:cs="Times New Roman"/>
          <w:sz w:val="24"/>
          <w:szCs w:val="24"/>
        </w:rPr>
        <w:t xml:space="preserve"> confidence in the</w:t>
      </w:r>
      <w:r w:rsidR="00A737AC" w:rsidRPr="00564044">
        <w:rPr>
          <w:rFonts w:ascii="Times New Roman" w:hAnsi="Times New Roman" w:cs="Times New Roman"/>
          <w:sz w:val="24"/>
          <w:szCs w:val="24"/>
        </w:rPr>
        <w:t xml:space="preserve"> usage of computers, smart phones,</w:t>
      </w:r>
      <w:r w:rsidR="006E1D06" w:rsidRPr="00564044">
        <w:rPr>
          <w:rFonts w:ascii="Times New Roman" w:hAnsi="Times New Roman" w:cs="Times New Roman"/>
          <w:sz w:val="24"/>
          <w:szCs w:val="24"/>
        </w:rPr>
        <w:t xml:space="preserve"> and email. </w:t>
      </w:r>
      <w:r w:rsidR="00B33DA5" w:rsidRPr="00564044">
        <w:rPr>
          <w:rFonts w:ascii="Times New Roman" w:hAnsi="Times New Roman" w:cs="Times New Roman"/>
          <w:sz w:val="24"/>
          <w:szCs w:val="24"/>
        </w:rPr>
        <w:t>N</w:t>
      </w:r>
      <w:r w:rsidR="0029366D" w:rsidRPr="00564044">
        <w:rPr>
          <w:rFonts w:ascii="Times New Roman" w:hAnsi="Times New Roman" w:cs="Times New Roman"/>
          <w:sz w:val="24"/>
          <w:szCs w:val="24"/>
        </w:rPr>
        <w:t xml:space="preserve">ew equipment </w:t>
      </w:r>
      <w:r w:rsidR="00B33DA5" w:rsidRPr="00564044">
        <w:rPr>
          <w:rFonts w:ascii="Times New Roman" w:hAnsi="Times New Roman" w:cs="Times New Roman"/>
          <w:sz w:val="24"/>
          <w:szCs w:val="24"/>
        </w:rPr>
        <w:t>will be p</w:t>
      </w:r>
      <w:r w:rsidR="0029366D" w:rsidRPr="00564044">
        <w:rPr>
          <w:rFonts w:ascii="Times New Roman" w:hAnsi="Times New Roman" w:cs="Times New Roman"/>
          <w:sz w:val="24"/>
          <w:szCs w:val="24"/>
        </w:rPr>
        <w:t xml:space="preserve">rovided to the senior centers to modernize their technological access as well, </w:t>
      </w:r>
      <w:r w:rsidR="00B33DA5" w:rsidRPr="00564044">
        <w:rPr>
          <w:rFonts w:ascii="Times New Roman" w:hAnsi="Times New Roman" w:cs="Times New Roman"/>
          <w:sz w:val="24"/>
          <w:szCs w:val="24"/>
        </w:rPr>
        <w:t xml:space="preserve">improving classes, </w:t>
      </w:r>
      <w:r w:rsidR="00A7449E" w:rsidRPr="00564044">
        <w:rPr>
          <w:rFonts w:ascii="Times New Roman" w:hAnsi="Times New Roman" w:cs="Times New Roman"/>
          <w:sz w:val="24"/>
          <w:szCs w:val="24"/>
        </w:rPr>
        <w:t xml:space="preserve">telehealth, and connectivity throughout the region. </w:t>
      </w:r>
      <w:r w:rsidR="00B73C6A" w:rsidRPr="00A6669C">
        <w:rPr>
          <w:rFonts w:ascii="Times New Roman" w:hAnsi="Times New Roman" w:cs="Times New Roman"/>
          <w:sz w:val="24"/>
          <w:szCs w:val="24"/>
        </w:rPr>
        <w:t>These improvement</w:t>
      </w:r>
      <w:r w:rsidR="005B4D62">
        <w:rPr>
          <w:rFonts w:ascii="Times New Roman" w:hAnsi="Times New Roman" w:cs="Times New Roman"/>
          <w:sz w:val="24"/>
          <w:szCs w:val="24"/>
        </w:rPr>
        <w:t>s</w:t>
      </w:r>
      <w:r w:rsidR="00B73C6A" w:rsidRPr="00564044">
        <w:rPr>
          <w:rFonts w:ascii="Times New Roman" w:hAnsi="Times New Roman" w:cs="Times New Roman"/>
          <w:sz w:val="24"/>
          <w:szCs w:val="24"/>
        </w:rPr>
        <w:t xml:space="preserve"> will also help provide means of virtual presentations to </w:t>
      </w:r>
      <w:r w:rsidR="00371EE1" w:rsidRPr="00564044">
        <w:rPr>
          <w:rFonts w:ascii="Times New Roman" w:hAnsi="Times New Roman" w:cs="Times New Roman"/>
          <w:sz w:val="24"/>
          <w:szCs w:val="24"/>
        </w:rPr>
        <w:t xml:space="preserve">increase awareness of resources related to dementia, Alzheimer’s, </w:t>
      </w:r>
      <w:r w:rsidR="00371EE1" w:rsidRPr="00564044">
        <w:rPr>
          <w:rFonts w:ascii="Times New Roman" w:hAnsi="Times New Roman" w:cs="Times New Roman"/>
          <w:sz w:val="24"/>
          <w:szCs w:val="24"/>
        </w:rPr>
        <w:lastRenderedPageBreak/>
        <w:t>mental health,</w:t>
      </w:r>
      <w:r w:rsidR="00155DE6" w:rsidRPr="00564044">
        <w:rPr>
          <w:rFonts w:ascii="Times New Roman" w:hAnsi="Times New Roman" w:cs="Times New Roman"/>
          <w:sz w:val="24"/>
          <w:szCs w:val="24"/>
        </w:rPr>
        <w:t xml:space="preserve"> and other health related </w:t>
      </w:r>
      <w:r w:rsidR="00035D96" w:rsidRPr="00564044">
        <w:rPr>
          <w:rFonts w:ascii="Times New Roman" w:hAnsi="Times New Roman" w:cs="Times New Roman"/>
          <w:sz w:val="24"/>
          <w:szCs w:val="24"/>
        </w:rPr>
        <w:t xml:space="preserve">needs. </w:t>
      </w:r>
      <w:r w:rsidR="00C646CD" w:rsidRPr="00564044">
        <w:rPr>
          <w:rFonts w:ascii="Times New Roman" w:hAnsi="Times New Roman" w:cs="Times New Roman"/>
          <w:sz w:val="24"/>
          <w:szCs w:val="24"/>
        </w:rPr>
        <w:t>Th</w:t>
      </w:r>
      <w:r w:rsidR="00EF4117" w:rsidRPr="00564044">
        <w:rPr>
          <w:rFonts w:ascii="Times New Roman" w:hAnsi="Times New Roman" w:cs="Times New Roman"/>
          <w:sz w:val="24"/>
          <w:szCs w:val="24"/>
        </w:rPr>
        <w:t>ese n</w:t>
      </w:r>
      <w:r w:rsidR="00C646CD" w:rsidRPr="00564044">
        <w:rPr>
          <w:rFonts w:ascii="Times New Roman" w:hAnsi="Times New Roman" w:cs="Times New Roman"/>
          <w:sz w:val="24"/>
          <w:szCs w:val="24"/>
        </w:rPr>
        <w:t>eed</w:t>
      </w:r>
      <w:r w:rsidR="00EF4117" w:rsidRPr="00564044">
        <w:rPr>
          <w:rFonts w:ascii="Times New Roman" w:hAnsi="Times New Roman" w:cs="Times New Roman"/>
          <w:sz w:val="24"/>
          <w:szCs w:val="24"/>
        </w:rPr>
        <w:t xml:space="preserve">s were identified </w:t>
      </w:r>
      <w:r w:rsidR="00313352" w:rsidRPr="00564044">
        <w:rPr>
          <w:rFonts w:ascii="Times New Roman" w:hAnsi="Times New Roman" w:cs="Times New Roman"/>
          <w:sz w:val="24"/>
          <w:szCs w:val="24"/>
        </w:rPr>
        <w:t>on the Community Conversation Surveys.</w:t>
      </w:r>
    </w:p>
    <w:p w14:paraId="7F820761" w14:textId="76738301" w:rsidR="00281E42" w:rsidRPr="00A6669C" w:rsidRDefault="007B36FE" w:rsidP="00281E42">
      <w:pPr>
        <w:pStyle w:val="ListParagraph"/>
        <w:numPr>
          <w:ilvl w:val="0"/>
          <w:numId w:val="4"/>
        </w:numPr>
        <w:rPr>
          <w:rFonts w:ascii="Times New Roman" w:hAnsi="Times New Roman" w:cs="Times New Roman"/>
          <w:b/>
          <w:sz w:val="24"/>
          <w:szCs w:val="24"/>
        </w:rPr>
      </w:pPr>
      <w:r w:rsidRPr="00A6669C">
        <w:rPr>
          <w:rFonts w:ascii="Times New Roman" w:hAnsi="Times New Roman" w:cs="Times New Roman"/>
          <w:b/>
          <w:sz w:val="24"/>
          <w:szCs w:val="24"/>
        </w:rPr>
        <w:t>What plans do you have to measure the effectiveness, efficiency, and outcomes of your programs and services?</w:t>
      </w:r>
    </w:p>
    <w:p w14:paraId="65FC4C2F" w14:textId="7A7DEF41" w:rsidR="00281E42" w:rsidRPr="00564044" w:rsidRDefault="00403170" w:rsidP="00281E42">
      <w:pPr>
        <w:pStyle w:val="ListParagraph"/>
        <w:rPr>
          <w:rFonts w:ascii="Times New Roman" w:hAnsi="Times New Roman" w:cs="Times New Roman"/>
          <w:sz w:val="24"/>
          <w:szCs w:val="24"/>
        </w:rPr>
      </w:pPr>
      <w:r w:rsidRPr="00564044">
        <w:rPr>
          <w:rFonts w:ascii="Times New Roman" w:hAnsi="Times New Roman" w:cs="Times New Roman"/>
          <w:sz w:val="24"/>
          <w:szCs w:val="24"/>
        </w:rPr>
        <w:t xml:space="preserve">Attendance will be tracked at all trainings and future community </w:t>
      </w:r>
      <w:r w:rsidR="00C44860" w:rsidRPr="00564044">
        <w:rPr>
          <w:rFonts w:ascii="Times New Roman" w:hAnsi="Times New Roman" w:cs="Times New Roman"/>
          <w:sz w:val="24"/>
          <w:szCs w:val="24"/>
        </w:rPr>
        <w:t xml:space="preserve">outreach meetings. </w:t>
      </w:r>
      <w:r w:rsidR="0010707F" w:rsidRPr="00564044">
        <w:rPr>
          <w:rFonts w:ascii="Times New Roman" w:hAnsi="Times New Roman" w:cs="Times New Roman"/>
          <w:sz w:val="24"/>
          <w:szCs w:val="24"/>
        </w:rPr>
        <w:t xml:space="preserve">Questionnaires will be used before and after the meetings/workshops </w:t>
      </w:r>
      <w:r w:rsidR="002B3ECA" w:rsidRPr="00564044">
        <w:rPr>
          <w:rFonts w:ascii="Times New Roman" w:hAnsi="Times New Roman" w:cs="Times New Roman"/>
          <w:sz w:val="24"/>
          <w:szCs w:val="24"/>
        </w:rPr>
        <w:t xml:space="preserve">to determine the efficiency of the information. </w:t>
      </w:r>
      <w:r w:rsidR="00F1171B" w:rsidRPr="00564044">
        <w:rPr>
          <w:rFonts w:ascii="Times New Roman" w:hAnsi="Times New Roman" w:cs="Times New Roman"/>
          <w:sz w:val="24"/>
          <w:szCs w:val="24"/>
        </w:rPr>
        <w:t xml:space="preserve">ECCOG </w:t>
      </w:r>
      <w:r w:rsidR="00852458" w:rsidRPr="00564044">
        <w:rPr>
          <w:rFonts w:ascii="Times New Roman" w:hAnsi="Times New Roman" w:cs="Times New Roman"/>
          <w:sz w:val="24"/>
          <w:szCs w:val="24"/>
        </w:rPr>
        <w:t xml:space="preserve">will utilize </w:t>
      </w:r>
      <w:r w:rsidR="007135ED" w:rsidRPr="00564044">
        <w:rPr>
          <w:rFonts w:ascii="Times New Roman" w:hAnsi="Times New Roman" w:cs="Times New Roman"/>
          <w:sz w:val="24"/>
          <w:szCs w:val="24"/>
        </w:rPr>
        <w:t xml:space="preserve">a </w:t>
      </w:r>
      <w:r w:rsidR="00852458" w:rsidRPr="00564044">
        <w:rPr>
          <w:rFonts w:ascii="Times New Roman" w:hAnsi="Times New Roman" w:cs="Times New Roman"/>
          <w:sz w:val="24"/>
          <w:szCs w:val="24"/>
        </w:rPr>
        <w:t>year over year comparison to track increase</w:t>
      </w:r>
      <w:r w:rsidR="007135ED" w:rsidRPr="00564044">
        <w:rPr>
          <w:rFonts w:ascii="Times New Roman" w:hAnsi="Times New Roman" w:cs="Times New Roman"/>
          <w:sz w:val="24"/>
          <w:szCs w:val="24"/>
        </w:rPr>
        <w:t>s in</w:t>
      </w:r>
      <w:r w:rsidR="00852458" w:rsidRPr="00564044">
        <w:rPr>
          <w:rFonts w:ascii="Times New Roman" w:hAnsi="Times New Roman" w:cs="Times New Roman"/>
          <w:sz w:val="24"/>
          <w:szCs w:val="24"/>
        </w:rPr>
        <w:t xml:space="preserve"> </w:t>
      </w:r>
      <w:r w:rsidR="007E4469" w:rsidRPr="00564044">
        <w:rPr>
          <w:rFonts w:ascii="Times New Roman" w:hAnsi="Times New Roman" w:cs="Times New Roman"/>
          <w:sz w:val="24"/>
          <w:szCs w:val="24"/>
        </w:rPr>
        <w:t>services provided and new clients.</w:t>
      </w:r>
      <w:r w:rsidR="009959A1" w:rsidRPr="00564044">
        <w:rPr>
          <w:rFonts w:ascii="Times New Roman" w:hAnsi="Times New Roman" w:cs="Times New Roman"/>
          <w:sz w:val="24"/>
          <w:szCs w:val="24"/>
        </w:rPr>
        <w:t xml:space="preserve"> </w:t>
      </w:r>
      <w:r w:rsidR="007F7CCA" w:rsidRPr="00564044">
        <w:rPr>
          <w:rFonts w:ascii="Times New Roman" w:hAnsi="Times New Roman" w:cs="Times New Roman"/>
          <w:sz w:val="24"/>
          <w:szCs w:val="24"/>
        </w:rPr>
        <w:t>The AAA will use the end of State Fiscal Year 2023 as a baseline measurement.</w:t>
      </w:r>
      <w:r w:rsidR="007E4469" w:rsidRPr="00564044">
        <w:rPr>
          <w:rFonts w:ascii="Times New Roman" w:hAnsi="Times New Roman" w:cs="Times New Roman"/>
          <w:sz w:val="24"/>
          <w:szCs w:val="24"/>
        </w:rPr>
        <w:t xml:space="preserve"> </w:t>
      </w:r>
      <w:r w:rsidR="00852458" w:rsidRPr="00564044">
        <w:rPr>
          <w:rFonts w:ascii="Times New Roman" w:hAnsi="Times New Roman" w:cs="Times New Roman"/>
          <w:sz w:val="24"/>
          <w:szCs w:val="24"/>
        </w:rPr>
        <w:t xml:space="preserve"> </w:t>
      </w:r>
    </w:p>
    <w:p w14:paraId="36D6CDFF" w14:textId="71BCD3B9" w:rsidR="00C5712F" w:rsidRDefault="00C5712F">
      <w:r>
        <w:br w:type="page"/>
      </w:r>
    </w:p>
    <w:p w14:paraId="74134C40" w14:textId="002B2B35" w:rsidR="00C5712F" w:rsidRPr="00A6669C" w:rsidRDefault="00C5712F" w:rsidP="00F96370">
      <w:pPr>
        <w:pStyle w:val="Heading1"/>
        <w:rPr>
          <w:rFonts w:ascii="Times New Roman" w:hAnsi="Times New Roman" w:cs="Times New Roman"/>
        </w:rPr>
      </w:pPr>
      <w:bookmarkStart w:id="15" w:name="_Toc130291157"/>
      <w:r w:rsidRPr="00A6669C">
        <w:rPr>
          <w:rFonts w:ascii="Times New Roman" w:hAnsi="Times New Roman" w:cs="Times New Roman"/>
        </w:rPr>
        <w:lastRenderedPageBreak/>
        <w:t>Section VII: Title</w:t>
      </w:r>
      <w:r w:rsidR="00F5057A" w:rsidRPr="00A6669C">
        <w:rPr>
          <w:rFonts w:ascii="Times New Roman" w:hAnsi="Times New Roman" w:cs="Times New Roman"/>
        </w:rPr>
        <w:t xml:space="preserve"> III / VI Coordination</w:t>
      </w:r>
      <w:bookmarkEnd w:id="15"/>
    </w:p>
    <w:p w14:paraId="369AAD1E" w14:textId="77777777" w:rsidR="00B57C9F" w:rsidRDefault="00B57C9F" w:rsidP="00F5057A">
      <w:pPr>
        <w:rPr>
          <w:rFonts w:ascii="Times New Roman" w:hAnsi="Times New Roman" w:cs="Times New Roman"/>
          <w:sz w:val="24"/>
          <w:szCs w:val="24"/>
        </w:rPr>
      </w:pPr>
    </w:p>
    <w:p w14:paraId="50584321" w14:textId="261CAD20" w:rsidR="00E957C3" w:rsidRPr="00732282" w:rsidRDefault="00E957C3" w:rsidP="00F5057A">
      <w:pPr>
        <w:rPr>
          <w:rFonts w:ascii="Times New Roman" w:hAnsi="Times New Roman" w:cs="Times New Roman"/>
          <w:sz w:val="24"/>
          <w:szCs w:val="24"/>
        </w:rPr>
      </w:pPr>
      <w:r w:rsidRPr="00732282">
        <w:rPr>
          <w:rFonts w:ascii="Times New Roman" w:hAnsi="Times New Roman" w:cs="Times New Roman"/>
          <w:sz w:val="24"/>
          <w:szCs w:val="24"/>
        </w:rPr>
        <w:t>N/A (not applicable)</w:t>
      </w:r>
      <w:r w:rsidR="00B73A94">
        <w:rPr>
          <w:rFonts w:ascii="Times New Roman" w:hAnsi="Times New Roman" w:cs="Times New Roman"/>
          <w:sz w:val="24"/>
          <w:szCs w:val="24"/>
        </w:rPr>
        <w:t xml:space="preserve"> to ECCOG</w:t>
      </w:r>
    </w:p>
    <w:p w14:paraId="2DB807C3" w14:textId="4293FF2B" w:rsidR="00A6669C" w:rsidRPr="00A6669C" w:rsidRDefault="00A6669C" w:rsidP="00F5057A">
      <w:pPr>
        <w:rPr>
          <w:rFonts w:ascii="Times New Roman" w:hAnsi="Times New Roman" w:cs="Times New Roman"/>
          <w:sz w:val="24"/>
          <w:szCs w:val="24"/>
        </w:rPr>
      </w:pPr>
      <w:r>
        <w:rPr>
          <w:rFonts w:ascii="Times New Roman" w:hAnsi="Times New Roman" w:cs="Times New Roman"/>
          <w:sz w:val="24"/>
          <w:szCs w:val="24"/>
        </w:rPr>
        <w:br w:type="page"/>
      </w:r>
    </w:p>
    <w:p w14:paraId="2372E361" w14:textId="77777777" w:rsidR="00E957C3" w:rsidRDefault="00CC5FEB" w:rsidP="00496C3B">
      <w:pPr>
        <w:pStyle w:val="Heading1"/>
        <w:rPr>
          <w:rFonts w:ascii="Times New Roman" w:hAnsi="Times New Roman" w:cs="Times New Roman"/>
        </w:rPr>
      </w:pPr>
      <w:bookmarkStart w:id="16" w:name="_Toc130291158"/>
      <w:r w:rsidRPr="00A6669C">
        <w:rPr>
          <w:rFonts w:ascii="Times New Roman" w:hAnsi="Times New Roman" w:cs="Times New Roman"/>
        </w:rPr>
        <w:lastRenderedPageBreak/>
        <w:t>Section IX: Additional Prioriti</w:t>
      </w:r>
      <w:r w:rsidR="00496C3B" w:rsidRPr="00A6669C">
        <w:rPr>
          <w:rFonts w:ascii="Times New Roman" w:hAnsi="Times New Roman" w:cs="Times New Roman"/>
        </w:rPr>
        <w:t>es Identified by the AAA (Optional)</w:t>
      </w:r>
      <w:bookmarkEnd w:id="16"/>
    </w:p>
    <w:p w14:paraId="7EB8A951" w14:textId="52445197" w:rsidR="00E957C3" w:rsidRPr="00976209" w:rsidRDefault="00496C3B">
      <w:pPr>
        <w:rPr>
          <w:rFonts w:ascii="Times New Roman" w:hAnsi="Times New Roman" w:cs="Times New Roman"/>
        </w:rPr>
      </w:pPr>
      <w:r w:rsidRPr="00976209">
        <w:rPr>
          <w:rFonts w:ascii="Times New Roman" w:hAnsi="Times New Roman" w:cs="Times New Roman"/>
        </w:rPr>
        <w:t>N/A</w:t>
      </w:r>
      <w:r w:rsidR="004058DF">
        <w:rPr>
          <w:rFonts w:ascii="Times New Roman" w:hAnsi="Times New Roman" w:cs="Times New Roman"/>
        </w:rPr>
        <w:t xml:space="preserve"> </w:t>
      </w:r>
      <w:r w:rsidR="00092B9D">
        <w:rPr>
          <w:rFonts w:ascii="Times New Roman" w:hAnsi="Times New Roman" w:cs="Times New Roman"/>
        </w:rPr>
        <w:t>(n</w:t>
      </w:r>
      <w:r w:rsidR="004058DF">
        <w:rPr>
          <w:rFonts w:ascii="Times New Roman" w:hAnsi="Times New Roman" w:cs="Times New Roman"/>
        </w:rPr>
        <w:t>ot</w:t>
      </w:r>
      <w:r w:rsidR="00350EF8">
        <w:rPr>
          <w:rFonts w:ascii="Times New Roman" w:hAnsi="Times New Roman" w:cs="Times New Roman"/>
        </w:rPr>
        <w:t xml:space="preserve"> </w:t>
      </w:r>
      <w:r w:rsidR="00092B9D">
        <w:rPr>
          <w:rFonts w:ascii="Times New Roman" w:hAnsi="Times New Roman" w:cs="Times New Roman"/>
        </w:rPr>
        <w:t>a</w:t>
      </w:r>
      <w:r w:rsidR="00350EF8">
        <w:rPr>
          <w:rFonts w:ascii="Times New Roman" w:hAnsi="Times New Roman" w:cs="Times New Roman"/>
        </w:rPr>
        <w:t>pplicable</w:t>
      </w:r>
      <w:r w:rsidR="00092B9D">
        <w:rPr>
          <w:rFonts w:ascii="Times New Roman" w:hAnsi="Times New Roman" w:cs="Times New Roman"/>
        </w:rPr>
        <w:t>)</w:t>
      </w:r>
    </w:p>
    <w:p w14:paraId="6396F4CF" w14:textId="0AA53E7B" w:rsidR="00496C3B" w:rsidRDefault="00976209">
      <w:r>
        <w:br w:type="page"/>
      </w:r>
    </w:p>
    <w:p w14:paraId="005AA744" w14:textId="77777777" w:rsidR="00496C3B" w:rsidRDefault="00496C3B"/>
    <w:p w14:paraId="1A14D069" w14:textId="7E8B9CD6" w:rsidR="00E957C3" w:rsidRPr="00976209" w:rsidRDefault="00E957C3" w:rsidP="00F96370">
      <w:pPr>
        <w:pStyle w:val="Heading1"/>
        <w:rPr>
          <w:rFonts w:ascii="Times New Roman" w:hAnsi="Times New Roman" w:cs="Times New Roman"/>
        </w:rPr>
      </w:pPr>
      <w:bookmarkStart w:id="17" w:name="_Toc130291159"/>
      <w:r w:rsidRPr="00976209">
        <w:rPr>
          <w:rFonts w:ascii="Times New Roman" w:hAnsi="Times New Roman" w:cs="Times New Roman"/>
        </w:rPr>
        <w:t xml:space="preserve">Section </w:t>
      </w:r>
      <w:r w:rsidR="00CC5FEB" w:rsidRPr="00976209">
        <w:rPr>
          <w:rFonts w:ascii="Times New Roman" w:hAnsi="Times New Roman" w:cs="Times New Roman"/>
        </w:rPr>
        <w:t>X</w:t>
      </w:r>
      <w:r w:rsidRPr="00976209">
        <w:rPr>
          <w:rFonts w:ascii="Times New Roman" w:hAnsi="Times New Roman" w:cs="Times New Roman"/>
        </w:rPr>
        <w:t>: Forms</w:t>
      </w:r>
      <w:bookmarkEnd w:id="17"/>
    </w:p>
    <w:p w14:paraId="13A232EF" w14:textId="515D45E4" w:rsidR="00A169B2" w:rsidRPr="00F07AEB" w:rsidRDefault="00A6374E" w:rsidP="00A169B2">
      <w:pPr>
        <w:rPr>
          <w:rFonts w:ascii="Times New Roman" w:hAnsi="Times New Roman" w:cs="Times New Roman"/>
          <w:sz w:val="24"/>
          <w:szCs w:val="24"/>
        </w:rPr>
      </w:pPr>
      <w:r w:rsidRPr="00F07AEB">
        <w:rPr>
          <w:rFonts w:ascii="Times New Roman" w:hAnsi="Times New Roman" w:cs="Times New Roman"/>
          <w:sz w:val="24"/>
          <w:szCs w:val="24"/>
        </w:rPr>
        <w:t>The forms required in the Area Plans will be completed in Google Sheets. All forms are required to be comple</w:t>
      </w:r>
      <w:r w:rsidR="008922D4" w:rsidRPr="00F07AEB">
        <w:rPr>
          <w:rFonts w:ascii="Times New Roman" w:hAnsi="Times New Roman" w:cs="Times New Roman"/>
          <w:sz w:val="24"/>
          <w:szCs w:val="24"/>
        </w:rPr>
        <w:t xml:space="preserve">ted </w:t>
      </w:r>
      <w:proofErr w:type="gramStart"/>
      <w:r w:rsidR="008922D4" w:rsidRPr="00F07AEB">
        <w:rPr>
          <w:rFonts w:ascii="Times New Roman" w:hAnsi="Times New Roman" w:cs="Times New Roman"/>
          <w:sz w:val="24"/>
          <w:szCs w:val="24"/>
        </w:rPr>
        <w:t>with the exception of</w:t>
      </w:r>
      <w:proofErr w:type="gramEnd"/>
      <w:r w:rsidR="008922D4" w:rsidRPr="00F07AEB">
        <w:rPr>
          <w:rFonts w:ascii="Times New Roman" w:hAnsi="Times New Roman" w:cs="Times New Roman"/>
          <w:sz w:val="24"/>
          <w:szCs w:val="24"/>
        </w:rPr>
        <w:t xml:space="preserve"> </w:t>
      </w:r>
      <w:r w:rsidR="00F411E6" w:rsidRPr="00F07AEB">
        <w:rPr>
          <w:rFonts w:ascii="Times New Roman" w:hAnsi="Times New Roman" w:cs="Times New Roman"/>
          <w:sz w:val="24"/>
          <w:szCs w:val="24"/>
        </w:rPr>
        <w:t>“</w:t>
      </w:r>
      <w:r w:rsidR="008922D4" w:rsidRPr="00F07AEB">
        <w:rPr>
          <w:rFonts w:ascii="Times New Roman" w:hAnsi="Times New Roman" w:cs="Times New Roman"/>
          <w:sz w:val="24"/>
          <w:szCs w:val="24"/>
        </w:rPr>
        <w:t>Worksheet A: Direct Service Waiver Request</w:t>
      </w:r>
      <w:r w:rsidR="00F411E6" w:rsidRPr="00F07AEB">
        <w:rPr>
          <w:rFonts w:ascii="Times New Roman" w:hAnsi="Times New Roman" w:cs="Times New Roman"/>
          <w:sz w:val="24"/>
          <w:szCs w:val="24"/>
        </w:rPr>
        <w:t>”. Only AAAs requesting waivers need to submit Worksheet A.</w:t>
      </w:r>
    </w:p>
    <w:p w14:paraId="68ED1D95" w14:textId="77777777" w:rsidR="00976209" w:rsidRDefault="00A169B2" w:rsidP="00976209">
      <w:pPr>
        <w:pStyle w:val="paragraph"/>
        <w:spacing w:before="0" w:beforeAutospacing="0" w:after="0" w:afterAutospacing="0"/>
        <w:textAlignment w:val="baseline"/>
        <w:rPr>
          <w:rStyle w:val="normaltextrun"/>
          <w:b/>
          <w:bCs/>
          <w:color w:val="000000"/>
        </w:rPr>
      </w:pPr>
      <w:r w:rsidRPr="00976209">
        <w:rPr>
          <w:rStyle w:val="normaltextrun"/>
          <w:b/>
          <w:bCs/>
          <w:color w:val="000000"/>
        </w:rPr>
        <w:t>Worksheet A:  Direct Service Waiver Request</w:t>
      </w:r>
    </w:p>
    <w:p w14:paraId="45F10E6C" w14:textId="1B56B868" w:rsidR="00A169B2" w:rsidRPr="004B09DA" w:rsidRDefault="00A169B2" w:rsidP="00976209">
      <w:pPr>
        <w:pStyle w:val="paragraph"/>
        <w:spacing w:before="0" w:beforeAutospacing="0" w:after="0" w:afterAutospacing="0"/>
        <w:textAlignment w:val="baseline"/>
      </w:pPr>
      <w:r w:rsidRPr="004B09DA">
        <w:rPr>
          <w:rStyle w:val="eop"/>
          <w:rFonts w:eastAsiaTheme="majorEastAsia"/>
        </w:rPr>
        <w:t> </w:t>
      </w:r>
    </w:p>
    <w:p w14:paraId="4BC32451" w14:textId="77777777" w:rsidR="00A169B2" w:rsidRPr="004B09DA" w:rsidRDefault="00A169B2" w:rsidP="00A169B2">
      <w:pPr>
        <w:pStyle w:val="paragraph"/>
        <w:spacing w:before="0" w:beforeAutospacing="0" w:after="0" w:afterAutospacing="0"/>
        <w:jc w:val="both"/>
        <w:textAlignment w:val="baseline"/>
      </w:pPr>
      <w:r w:rsidRPr="004B09DA">
        <w:rPr>
          <w:rStyle w:val="normaltextrun"/>
        </w:rPr>
        <w:t>Only AAAs providing services directly will submit this form.  Waivers for all OAA/SFSS programs are allowable to permit demonstrations and to promote innovations or improve service delivery providing the waiver will not diminish services already provided.  A direct service is identified for any service funded with non-administrative funding to support AAA staff.  The Long-term Care Ombudsman Program does not need to be identified as a direct service.</w:t>
      </w:r>
      <w:r w:rsidRPr="004B09DA">
        <w:rPr>
          <w:rStyle w:val="eop"/>
          <w:rFonts w:eastAsiaTheme="majorEastAsia"/>
        </w:rPr>
        <w:t> </w:t>
      </w:r>
    </w:p>
    <w:p w14:paraId="18552486"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1566EE24" w14:textId="09974522" w:rsidR="00A169B2" w:rsidRPr="004B09DA" w:rsidRDefault="00A169B2" w:rsidP="00A169B2">
      <w:pPr>
        <w:pStyle w:val="paragraph"/>
        <w:spacing w:before="0" w:beforeAutospacing="0" w:after="0" w:afterAutospacing="0"/>
        <w:jc w:val="both"/>
        <w:textAlignment w:val="baseline"/>
      </w:pPr>
      <w:r w:rsidRPr="004B09DA">
        <w:rPr>
          <w:rStyle w:val="normaltextrun"/>
        </w:rPr>
        <w:t>Before requesting a waiver, the AAA shall conduct a public hearing.  The AAA shall notify all interested parties in the area</w:t>
      </w:r>
      <w:r w:rsidR="009A61F4">
        <w:rPr>
          <w:rStyle w:val="normaltextrun"/>
        </w:rPr>
        <w:t>,</w:t>
      </w:r>
      <w:r w:rsidRPr="004B09DA">
        <w:rPr>
          <w:rStyle w:val="normaltextrun"/>
        </w:rPr>
        <w:t xml:space="preserve"> of the public hearing and furnish the interested parties with the opportunity to testify.  The AAA shall prepare a record of the public hearing and shall furnish the record of the public hearing with the request for a waiver to the SUA when the Area Plan is submitted.</w:t>
      </w:r>
      <w:r w:rsidRPr="004B09DA">
        <w:rPr>
          <w:rStyle w:val="eop"/>
          <w:rFonts w:eastAsiaTheme="majorEastAsia"/>
        </w:rPr>
        <w:t> </w:t>
      </w:r>
    </w:p>
    <w:p w14:paraId="28CA9D2B"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15010C7F" w14:textId="77777777" w:rsidR="00976209" w:rsidRDefault="00A169B2" w:rsidP="00976209">
      <w:pPr>
        <w:pStyle w:val="paragraph"/>
        <w:spacing w:before="0" w:beforeAutospacing="0" w:after="0" w:afterAutospacing="0"/>
        <w:textAlignment w:val="baseline"/>
        <w:rPr>
          <w:rStyle w:val="normaltextrun"/>
          <w:b/>
          <w:bCs/>
          <w:color w:val="000000"/>
        </w:rPr>
      </w:pPr>
      <w:r w:rsidRPr="00976209">
        <w:rPr>
          <w:rStyle w:val="normaltextrun"/>
          <w:b/>
          <w:bCs/>
          <w:color w:val="000000"/>
        </w:rPr>
        <w:t>Worksheet B:  Nutrition Services</w:t>
      </w:r>
    </w:p>
    <w:p w14:paraId="09B1F90D" w14:textId="12A6686E" w:rsidR="00A169B2" w:rsidRPr="004B09DA" w:rsidRDefault="00A169B2" w:rsidP="00976209">
      <w:pPr>
        <w:pStyle w:val="paragraph"/>
        <w:spacing w:before="0" w:beforeAutospacing="0" w:after="0" w:afterAutospacing="0"/>
        <w:textAlignment w:val="baseline"/>
      </w:pPr>
      <w:r w:rsidRPr="004B09DA">
        <w:rPr>
          <w:rStyle w:val="eop"/>
          <w:rFonts w:eastAsiaTheme="majorEastAsia"/>
        </w:rPr>
        <w:t> </w:t>
      </w:r>
    </w:p>
    <w:p w14:paraId="0BAC0BEB" w14:textId="77777777" w:rsidR="00A169B2" w:rsidRPr="004B09DA" w:rsidRDefault="00A169B2" w:rsidP="00A169B2">
      <w:pPr>
        <w:pStyle w:val="paragraph"/>
        <w:spacing w:before="0" w:beforeAutospacing="0" w:after="0" w:afterAutospacing="0"/>
        <w:jc w:val="both"/>
        <w:textAlignment w:val="baseline"/>
      </w:pPr>
      <w:r w:rsidRPr="004B09DA">
        <w:rPr>
          <w:rStyle w:val="normaltextrun"/>
        </w:rPr>
        <w:t>This form provides information about each OAA/SFSS congregate meal site and home delivered meal provider.</w:t>
      </w:r>
      <w:r w:rsidRPr="004B09DA">
        <w:rPr>
          <w:rStyle w:val="eop"/>
          <w:rFonts w:eastAsiaTheme="majorEastAsia"/>
        </w:rPr>
        <w:t> </w:t>
      </w:r>
    </w:p>
    <w:p w14:paraId="6251DF94"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79FB2D38" w14:textId="5B624B6F"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Congregate Meal Site/Grab-N-Go Site Name/Address</w:t>
      </w:r>
      <w:r w:rsidRPr="004B09DA">
        <w:rPr>
          <w:rStyle w:val="normaltextrun"/>
        </w:rPr>
        <w:t xml:space="preserve"> (Column B):  List the </w:t>
      </w:r>
      <w:r w:rsidR="00976209" w:rsidRPr="00976209">
        <w:rPr>
          <w:rStyle w:val="normaltextrun"/>
        </w:rPr>
        <w:t>contact’s</w:t>
      </w:r>
      <w:r w:rsidRPr="004B09DA">
        <w:rPr>
          <w:rStyle w:val="normaltextrun"/>
        </w:rPr>
        <w:t xml:space="preserve"> name, street address, phone number, email address, and fax number of each meal site in the AAA Region.</w:t>
      </w:r>
      <w:r w:rsidRPr="004B09DA">
        <w:rPr>
          <w:rStyle w:val="eop"/>
          <w:rFonts w:eastAsiaTheme="majorEastAsia"/>
        </w:rPr>
        <w:t> </w:t>
      </w:r>
    </w:p>
    <w:p w14:paraId="3402B23C"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667C690F" w14:textId="77777777"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Which Program(s) Operate Out of This Site?  (</w:t>
      </w:r>
      <w:r w:rsidRPr="004B09DA">
        <w:rPr>
          <w:rStyle w:val="normaltextrun"/>
        </w:rPr>
        <w:t>Columns C and D):  Identify if the site provides Congregate, Grab-N-Go, Drop-Shipped, and/or Home Delivered Meal programs.</w:t>
      </w:r>
      <w:r w:rsidRPr="004B09DA">
        <w:rPr>
          <w:rStyle w:val="eop"/>
          <w:rFonts w:eastAsiaTheme="majorEastAsia"/>
        </w:rPr>
        <w:t> </w:t>
      </w:r>
    </w:p>
    <w:p w14:paraId="4DD7464E"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56B100B7" w14:textId="77777777"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Are meals prepared on-site?</w:t>
      </w:r>
      <w:r w:rsidRPr="004B09DA">
        <w:rPr>
          <w:rStyle w:val="normaltextrun"/>
        </w:rPr>
        <w:t>  (Column E):  Answer ‘Yes’ or ‘No’.</w:t>
      </w:r>
      <w:r w:rsidRPr="004B09DA">
        <w:rPr>
          <w:rStyle w:val="eop"/>
          <w:rFonts w:eastAsiaTheme="majorEastAsia"/>
        </w:rPr>
        <w:t> </w:t>
      </w:r>
    </w:p>
    <w:p w14:paraId="5F755946"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33EEC8BE" w14:textId="691DE69D"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 xml:space="preserve">Which meal is served / delivered each day?  </w:t>
      </w:r>
      <w:r w:rsidRPr="004B09DA">
        <w:rPr>
          <w:rStyle w:val="normaltextrun"/>
        </w:rPr>
        <w:t>(Columns G, H, and I) Check the site(s), which serve one or more than one complete meal per day.  If additional meals are charged to OAA or SFSS, each meal served must provide at least one-third of the current Recommended Daily Allowance (RDA), Dietary Reference Intakes (DRI), and the United States Department of Agriculture (USDA) Dietary Guidelines for older adults (66</w:t>
      </w:r>
      <w:r w:rsidRPr="004B09DA">
        <w:rPr>
          <w:rStyle w:val="normaltextrun"/>
          <w:vertAlign w:val="superscript"/>
        </w:rPr>
        <w:t>2/3</w:t>
      </w:r>
      <w:r w:rsidRPr="004B09DA">
        <w:rPr>
          <w:rStyle w:val="tabchar"/>
          <w:rFonts w:eastAsiaTheme="majorEastAsia"/>
        </w:rPr>
        <w:tab/>
      </w:r>
      <w:r w:rsidRPr="004B09DA">
        <w:rPr>
          <w:rStyle w:val="normaltextrun"/>
        </w:rPr>
        <w:t xml:space="preserve"> for two meals, 100% for three meals).  </w:t>
      </w:r>
      <w:r w:rsidRPr="004B09DA">
        <w:rPr>
          <w:rStyle w:val="eop"/>
          <w:rFonts w:eastAsiaTheme="majorEastAsia"/>
        </w:rPr>
        <w:t> </w:t>
      </w:r>
    </w:p>
    <w:p w14:paraId="6A97F398"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6268EE80" w14:textId="1459E8A0"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Number of Days of the Week Congregate Meals and/or Grab-N-Go Meals are Served:</w:t>
      </w:r>
      <w:r w:rsidRPr="004B09DA">
        <w:rPr>
          <w:rStyle w:val="normaltextrun"/>
        </w:rPr>
        <w:t xml:space="preserve"> (Column J) List the number of days of the week each meal site serves meals using C1 and/or state funds.</w:t>
      </w:r>
      <w:r w:rsidRPr="004B09DA">
        <w:rPr>
          <w:rStyle w:val="eop"/>
          <w:rFonts w:eastAsiaTheme="majorEastAsia"/>
        </w:rPr>
        <w:t> </w:t>
      </w:r>
    </w:p>
    <w:p w14:paraId="6E928DFF"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075E6641" w14:textId="1CCBC754"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Number of Days of the Week Home Delivered Meals are Delivered</w:t>
      </w:r>
      <w:r w:rsidRPr="004B09DA">
        <w:rPr>
          <w:rStyle w:val="normaltextrun"/>
        </w:rPr>
        <w:t>: (Column K) List the number of days of the week each meal site delivers meals using C1 and/or state funds.</w:t>
      </w:r>
      <w:r w:rsidRPr="004B09DA">
        <w:rPr>
          <w:rStyle w:val="eop"/>
          <w:rFonts w:eastAsiaTheme="majorEastAsia"/>
        </w:rPr>
        <w:t> </w:t>
      </w:r>
    </w:p>
    <w:p w14:paraId="4B856D68"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lastRenderedPageBreak/>
        <w:t> </w:t>
      </w:r>
    </w:p>
    <w:p w14:paraId="0F559153" w14:textId="77777777" w:rsidR="00A169B2" w:rsidRDefault="00A169B2" w:rsidP="00A169B2">
      <w:pPr>
        <w:pStyle w:val="paragraph"/>
        <w:spacing w:before="0" w:beforeAutospacing="0" w:after="0" w:afterAutospacing="0"/>
        <w:textAlignment w:val="baseline"/>
        <w:rPr>
          <w:rStyle w:val="eop"/>
          <w:rFonts w:eastAsiaTheme="majorEastAsia"/>
          <w:b/>
          <w:color w:val="000000"/>
        </w:rPr>
      </w:pPr>
      <w:r w:rsidRPr="004B09DA">
        <w:rPr>
          <w:rStyle w:val="normaltextrun"/>
          <w:b/>
          <w:bCs/>
          <w:color w:val="000000"/>
        </w:rPr>
        <w:t>Worksheet C:  Community Focal Points and Senior Centers</w:t>
      </w:r>
      <w:r w:rsidRPr="004B09DA">
        <w:rPr>
          <w:rStyle w:val="eop"/>
          <w:rFonts w:eastAsiaTheme="majorEastAsia"/>
          <w:b/>
          <w:bCs/>
          <w:color w:val="000000"/>
        </w:rPr>
        <w:t> </w:t>
      </w:r>
    </w:p>
    <w:p w14:paraId="4CB8B2BC" w14:textId="286D9764" w:rsidR="00A169B2" w:rsidRPr="004B09DA" w:rsidRDefault="00A169B2" w:rsidP="00976209">
      <w:pPr>
        <w:pStyle w:val="paragraph"/>
        <w:spacing w:before="0" w:beforeAutospacing="0" w:after="0" w:afterAutospacing="0"/>
        <w:textAlignment w:val="baseline"/>
      </w:pPr>
      <w:r w:rsidRPr="004B09DA">
        <w:rPr>
          <w:rStyle w:val="eop"/>
          <w:rFonts w:eastAsiaTheme="majorEastAsia"/>
        </w:rPr>
        <w:t> </w:t>
      </w:r>
    </w:p>
    <w:p w14:paraId="64ADBF32" w14:textId="77777777" w:rsidR="00A169B2" w:rsidRPr="004B09DA" w:rsidRDefault="00A169B2" w:rsidP="00A169B2">
      <w:pPr>
        <w:pStyle w:val="paragraph"/>
        <w:spacing w:before="0" w:beforeAutospacing="0" w:after="0" w:afterAutospacing="0"/>
        <w:jc w:val="both"/>
        <w:textAlignment w:val="baseline"/>
      </w:pPr>
      <w:r w:rsidRPr="004B09DA">
        <w:rPr>
          <w:rStyle w:val="normaltextrun"/>
        </w:rPr>
        <w:t>This form provides information on the name and location of senior centers and focal points within each region.</w:t>
      </w:r>
      <w:r w:rsidRPr="004B09DA">
        <w:rPr>
          <w:rStyle w:val="eop"/>
          <w:rFonts w:eastAsiaTheme="majorEastAsia"/>
        </w:rPr>
        <w:t> </w:t>
      </w:r>
    </w:p>
    <w:p w14:paraId="788CC664"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4BA3D361" w14:textId="267B4403"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Contact Information</w:t>
      </w:r>
      <w:proofErr w:type="gramStart"/>
      <w:r w:rsidRPr="004B09DA">
        <w:rPr>
          <w:rStyle w:val="normaltextrun"/>
        </w:rPr>
        <w:t>:</w:t>
      </w:r>
      <w:r w:rsidR="00976209" w:rsidRPr="00976209">
        <w:rPr>
          <w:rStyle w:val="normaltextrun"/>
        </w:rPr>
        <w:t xml:space="preserve"> </w:t>
      </w:r>
      <w:r w:rsidRPr="004B09DA">
        <w:rPr>
          <w:rStyle w:val="normaltextrun"/>
        </w:rPr>
        <w:t xml:space="preserve"> (</w:t>
      </w:r>
      <w:proofErr w:type="gramEnd"/>
      <w:r w:rsidRPr="004B09DA">
        <w:rPr>
          <w:rStyle w:val="normaltextrun"/>
        </w:rPr>
        <w:t>Column A) - List the name, address, city, zip code, and telephone number of each senior center and/or focal point facility within the AAA Region.  </w:t>
      </w:r>
      <w:r w:rsidRPr="004B09DA">
        <w:rPr>
          <w:rStyle w:val="eop"/>
          <w:rFonts w:eastAsiaTheme="majorEastAsia"/>
        </w:rPr>
        <w:t> </w:t>
      </w:r>
    </w:p>
    <w:p w14:paraId="66F0FD30"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462E092E" w14:textId="5C075F1B"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Focal Point</w:t>
      </w:r>
      <w:r w:rsidRPr="004B09DA">
        <w:rPr>
          <w:rStyle w:val="normaltextrun"/>
        </w:rPr>
        <w:t>: (Column C) Check the box if the facility is a Focal Point (the term "focal point" means a facility established to encourage the maximum co-location and coordination of services for older individuals.)  </w:t>
      </w:r>
      <w:r w:rsidRPr="004B09DA">
        <w:rPr>
          <w:rStyle w:val="eop"/>
          <w:rFonts w:eastAsiaTheme="majorEastAsia"/>
        </w:rPr>
        <w:t> </w:t>
      </w:r>
    </w:p>
    <w:p w14:paraId="6F231561"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2FF82B1E" w14:textId="61823BEF"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Senior Center:</w:t>
      </w:r>
      <w:r w:rsidRPr="004B09DA">
        <w:rPr>
          <w:rStyle w:val="normaltextrun"/>
        </w:rPr>
        <w:t xml:space="preserve"> (Column D) Check the box if the facility is a Senior Center.  (</w:t>
      </w:r>
      <w:r w:rsidR="00976209" w:rsidRPr="00976209">
        <w:rPr>
          <w:rStyle w:val="normaltextrun"/>
        </w:rPr>
        <w:t>The</w:t>
      </w:r>
      <w:r w:rsidRPr="004B09DA">
        <w:rPr>
          <w:rStyle w:val="normaltextrun"/>
        </w:rPr>
        <w:t xml:space="preserve"> term "Senior Center" means a facility for the organization and provision of a broad spectrum of services, which shall include, but not be limited to, provision of health including mental health, social, nutritional, and educational </w:t>
      </w:r>
      <w:proofErr w:type="gramStart"/>
      <w:r w:rsidRPr="004B09DA">
        <w:rPr>
          <w:rStyle w:val="normaltextrun"/>
        </w:rPr>
        <w:t>services</w:t>
      </w:r>
      <w:proofErr w:type="gramEnd"/>
      <w:r w:rsidRPr="004B09DA">
        <w:rPr>
          <w:rStyle w:val="normaltextrun"/>
        </w:rPr>
        <w:t xml:space="preserve"> and the provision of facilities for recreational activities for older individuals.)  A facility can be both a focal point and senior center.  If that is the case, please check both boxes.  </w:t>
      </w:r>
      <w:r w:rsidRPr="004B09DA">
        <w:rPr>
          <w:rStyle w:val="eop"/>
          <w:rFonts w:eastAsiaTheme="majorEastAsia"/>
        </w:rPr>
        <w:t> </w:t>
      </w:r>
    </w:p>
    <w:p w14:paraId="5E9AE18F"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76CC059C" w14:textId="77777777" w:rsidR="00A169B2" w:rsidRPr="004B09DA" w:rsidRDefault="00A169B2" w:rsidP="00A169B2">
      <w:pPr>
        <w:pStyle w:val="paragraph"/>
        <w:spacing w:before="0" w:beforeAutospacing="0" w:after="0" w:afterAutospacing="0"/>
        <w:jc w:val="both"/>
        <w:textAlignment w:val="baseline"/>
      </w:pPr>
      <w:r w:rsidRPr="004B09DA">
        <w:rPr>
          <w:rStyle w:val="normaltextrun"/>
          <w:u w:val="single"/>
        </w:rPr>
        <w:t>Funded by Title III-B and/or SFSS</w:t>
      </w:r>
      <w:proofErr w:type="gramStart"/>
      <w:r w:rsidRPr="004B09DA">
        <w:rPr>
          <w:rStyle w:val="normaltextrun"/>
          <w:u w:val="single"/>
        </w:rPr>
        <w:t>:</w:t>
      </w:r>
      <w:r w:rsidRPr="004B09DA">
        <w:rPr>
          <w:rStyle w:val="normaltextrun"/>
        </w:rPr>
        <w:t>  (</w:t>
      </w:r>
      <w:proofErr w:type="gramEnd"/>
      <w:r w:rsidRPr="004B09DA">
        <w:rPr>
          <w:rStyle w:val="normaltextrun"/>
        </w:rPr>
        <w:t xml:space="preserve">Column E) Check the </w:t>
      </w:r>
      <w:proofErr w:type="gramStart"/>
      <w:r w:rsidRPr="004B09DA">
        <w:rPr>
          <w:rStyle w:val="normaltextrun"/>
        </w:rPr>
        <w:t>box</w:t>
      </w:r>
      <w:proofErr w:type="gramEnd"/>
      <w:r w:rsidRPr="004B09DA">
        <w:rPr>
          <w:rStyle w:val="normaltextrun"/>
        </w:rPr>
        <w:t xml:space="preserve"> if the facility is funded through Title III-B or SFSS.  Indicate if the facility is a senior center and a recipient of Title III B or SFSS funds for Senior Center Operations.  Do not check if the Senior Center is a congregate nutrition site and only receiving Nutrition funds from OAA or SFSS. </w:t>
      </w:r>
      <w:r w:rsidRPr="004B09DA">
        <w:rPr>
          <w:rStyle w:val="eop"/>
          <w:rFonts w:eastAsiaTheme="majorEastAsia"/>
        </w:rPr>
        <w:t> </w:t>
      </w:r>
    </w:p>
    <w:p w14:paraId="0C0029A3" w14:textId="77777777" w:rsidR="00A169B2" w:rsidRPr="004B09DA" w:rsidRDefault="00A169B2" w:rsidP="00A169B2">
      <w:pPr>
        <w:pStyle w:val="paragraph"/>
        <w:spacing w:before="0" w:beforeAutospacing="0" w:after="0" w:afterAutospacing="0"/>
        <w:jc w:val="both"/>
        <w:textAlignment w:val="baseline"/>
      </w:pPr>
      <w:r w:rsidRPr="004B09DA">
        <w:rPr>
          <w:rStyle w:val="eop"/>
          <w:rFonts w:eastAsiaTheme="majorEastAsia"/>
        </w:rPr>
        <w:t> </w:t>
      </w:r>
    </w:p>
    <w:p w14:paraId="7D49FE58" w14:textId="77777777" w:rsidR="00A169B2" w:rsidRPr="004B09DA" w:rsidRDefault="00A169B2" w:rsidP="00A169B2">
      <w:pPr>
        <w:pStyle w:val="paragraph"/>
        <w:spacing w:before="0" w:beforeAutospacing="0" w:after="0" w:afterAutospacing="0"/>
        <w:textAlignment w:val="baseline"/>
        <w:rPr>
          <w:b/>
          <w:bCs/>
          <w:color w:val="4F81BD"/>
        </w:rPr>
      </w:pPr>
      <w:r w:rsidRPr="004B09DA">
        <w:rPr>
          <w:rStyle w:val="normaltextrun"/>
          <w:b/>
          <w:bCs/>
          <w:color w:val="000000"/>
        </w:rPr>
        <w:t>Worksheet D:  Regional Advisory Council Membership</w:t>
      </w:r>
      <w:r w:rsidRPr="004B09DA">
        <w:rPr>
          <w:rStyle w:val="eop"/>
          <w:rFonts w:eastAsiaTheme="majorEastAsia"/>
          <w:b/>
          <w:bCs/>
          <w:color w:val="000000"/>
        </w:rPr>
        <w:t> </w:t>
      </w:r>
    </w:p>
    <w:p w14:paraId="1AAF75A6" w14:textId="77777777" w:rsidR="00A169B2" w:rsidRPr="004B09DA" w:rsidRDefault="00A169B2" w:rsidP="00A169B2">
      <w:pPr>
        <w:pStyle w:val="paragraph"/>
        <w:spacing w:before="0" w:beforeAutospacing="0" w:after="0" w:afterAutospacing="0"/>
        <w:ind w:left="1440" w:hanging="1440"/>
        <w:jc w:val="both"/>
        <w:textAlignment w:val="baseline"/>
      </w:pPr>
      <w:r w:rsidRPr="004B09DA">
        <w:rPr>
          <w:rStyle w:val="eop"/>
          <w:rFonts w:eastAsiaTheme="majorEastAsia"/>
        </w:rPr>
        <w:t> </w:t>
      </w:r>
    </w:p>
    <w:p w14:paraId="5841288F" w14:textId="77777777" w:rsidR="00A169B2" w:rsidRPr="004B09DA" w:rsidRDefault="00A169B2" w:rsidP="00A169B2">
      <w:pPr>
        <w:pStyle w:val="paragraph"/>
        <w:spacing w:before="0" w:beforeAutospacing="0" w:after="0" w:afterAutospacing="0"/>
        <w:jc w:val="both"/>
        <w:textAlignment w:val="baseline"/>
      </w:pPr>
      <w:r w:rsidRPr="004B09DA">
        <w:rPr>
          <w:rStyle w:val="normaltextrun"/>
        </w:rPr>
        <w:t xml:space="preserve">List all persons presently serving as members of the AAA’s Regional Advisory Council.  In the Organizational Affiliation column, note whether this advisory council member represents older persons, the </w:t>
      </w:r>
      <w:proofErr w:type="gramStart"/>
      <w:r w:rsidRPr="004B09DA">
        <w:rPr>
          <w:rStyle w:val="normaltextrun"/>
        </w:rPr>
        <w:t>general public</w:t>
      </w:r>
      <w:proofErr w:type="gramEnd"/>
      <w:r w:rsidRPr="004B09DA">
        <w:rPr>
          <w:rStyle w:val="normaltextrun"/>
        </w:rPr>
        <w:t>, provider organizations, health care provider organizations, local elected officials, county councils on aging, county commissioners, etc.  For multiple county AAA regions, note which county or town the appropriate advisory council member is representing.  Provide the total number of members who are low-income, minority, and/or 60 years of age or older on row 60.</w:t>
      </w:r>
      <w:r w:rsidRPr="004B09DA">
        <w:rPr>
          <w:rStyle w:val="eop"/>
          <w:rFonts w:eastAsiaTheme="majorEastAsia"/>
        </w:rPr>
        <w:t> </w:t>
      </w:r>
    </w:p>
    <w:p w14:paraId="29E38B7F" w14:textId="77777777" w:rsidR="00A169B2" w:rsidRPr="004B09DA" w:rsidRDefault="00A169B2" w:rsidP="00A169B2">
      <w:pPr>
        <w:rPr>
          <w:rFonts w:ascii="Times New Roman" w:hAnsi="Times New Roman" w:cs="Times New Roman"/>
          <w:sz w:val="24"/>
          <w:szCs w:val="24"/>
        </w:rPr>
      </w:pPr>
    </w:p>
    <w:sectPr w:rsidR="00A169B2" w:rsidRPr="004B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DCF8" w14:textId="77777777" w:rsidR="00F74574" w:rsidRDefault="00F74574">
      <w:pPr>
        <w:spacing w:after="0" w:line="240" w:lineRule="auto"/>
      </w:pPr>
      <w:r>
        <w:separator/>
      </w:r>
    </w:p>
  </w:endnote>
  <w:endnote w:type="continuationSeparator" w:id="0">
    <w:p w14:paraId="1328DD21" w14:textId="77777777" w:rsidR="00F74574" w:rsidRDefault="00F74574">
      <w:pPr>
        <w:spacing w:after="0" w:line="240" w:lineRule="auto"/>
      </w:pPr>
      <w:r>
        <w:continuationSeparator/>
      </w:r>
    </w:p>
  </w:endnote>
  <w:endnote w:type="continuationNotice" w:id="1">
    <w:p w14:paraId="6EF6B7A8" w14:textId="77777777" w:rsidR="00D11068" w:rsidRDefault="00D11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E130" w14:textId="77777777" w:rsidR="00F74574" w:rsidRDefault="00F74574">
      <w:pPr>
        <w:spacing w:after="0" w:line="240" w:lineRule="auto"/>
      </w:pPr>
      <w:r>
        <w:separator/>
      </w:r>
    </w:p>
  </w:footnote>
  <w:footnote w:type="continuationSeparator" w:id="0">
    <w:p w14:paraId="04B907AF" w14:textId="77777777" w:rsidR="00F74574" w:rsidRDefault="00F74574">
      <w:pPr>
        <w:spacing w:after="0" w:line="240" w:lineRule="auto"/>
      </w:pPr>
      <w:r>
        <w:continuationSeparator/>
      </w:r>
    </w:p>
  </w:footnote>
  <w:footnote w:type="continuationNotice" w:id="1">
    <w:p w14:paraId="3BDFB5F0" w14:textId="77777777" w:rsidR="00D11068" w:rsidRDefault="00D11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7132"/>
    <w:multiLevelType w:val="hybridMultilevel"/>
    <w:tmpl w:val="33409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2701A"/>
    <w:multiLevelType w:val="hybridMultilevel"/>
    <w:tmpl w:val="338CC7A4"/>
    <w:lvl w:ilvl="0" w:tplc="19AAC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82D2D"/>
    <w:multiLevelType w:val="hybridMultilevel"/>
    <w:tmpl w:val="95EC1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27EAE"/>
    <w:multiLevelType w:val="hybridMultilevel"/>
    <w:tmpl w:val="82F8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12CEA"/>
    <w:multiLevelType w:val="hybridMultilevel"/>
    <w:tmpl w:val="C4D2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A50"/>
    <w:multiLevelType w:val="hybridMultilevel"/>
    <w:tmpl w:val="D2548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552649">
    <w:abstractNumId w:val="2"/>
  </w:num>
  <w:num w:numId="2" w16cid:durableId="119423470">
    <w:abstractNumId w:val="0"/>
  </w:num>
  <w:num w:numId="3" w16cid:durableId="1034960631">
    <w:abstractNumId w:val="3"/>
  </w:num>
  <w:num w:numId="4" w16cid:durableId="627128370">
    <w:abstractNumId w:val="1"/>
  </w:num>
  <w:num w:numId="5" w16cid:durableId="671682789">
    <w:abstractNumId w:val="4"/>
  </w:num>
  <w:num w:numId="6" w16cid:durableId="553468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19"/>
    <w:rsid w:val="000011F1"/>
    <w:rsid w:val="00010644"/>
    <w:rsid w:val="00011FE3"/>
    <w:rsid w:val="0001271B"/>
    <w:rsid w:val="00012B41"/>
    <w:rsid w:val="00013854"/>
    <w:rsid w:val="000150DF"/>
    <w:rsid w:val="0001694B"/>
    <w:rsid w:val="00017155"/>
    <w:rsid w:val="000204B5"/>
    <w:rsid w:val="00020691"/>
    <w:rsid w:val="00021BC6"/>
    <w:rsid w:val="000260EC"/>
    <w:rsid w:val="00026726"/>
    <w:rsid w:val="00031588"/>
    <w:rsid w:val="00031905"/>
    <w:rsid w:val="0003190E"/>
    <w:rsid w:val="00032880"/>
    <w:rsid w:val="000354D8"/>
    <w:rsid w:val="00035D96"/>
    <w:rsid w:val="00036BBE"/>
    <w:rsid w:val="00040322"/>
    <w:rsid w:val="00040EB1"/>
    <w:rsid w:val="000412DE"/>
    <w:rsid w:val="0004131D"/>
    <w:rsid w:val="000422F2"/>
    <w:rsid w:val="000437BB"/>
    <w:rsid w:val="0004462F"/>
    <w:rsid w:val="00044B19"/>
    <w:rsid w:val="00044E1B"/>
    <w:rsid w:val="000457E7"/>
    <w:rsid w:val="000459E4"/>
    <w:rsid w:val="00047AF9"/>
    <w:rsid w:val="00047BC2"/>
    <w:rsid w:val="0005617C"/>
    <w:rsid w:val="00056CB2"/>
    <w:rsid w:val="00060572"/>
    <w:rsid w:val="00064A41"/>
    <w:rsid w:val="00065BA9"/>
    <w:rsid w:val="000674DC"/>
    <w:rsid w:val="00070BEC"/>
    <w:rsid w:val="0007383F"/>
    <w:rsid w:val="0007439F"/>
    <w:rsid w:val="00081726"/>
    <w:rsid w:val="00083D05"/>
    <w:rsid w:val="0008469F"/>
    <w:rsid w:val="000846B9"/>
    <w:rsid w:val="00085828"/>
    <w:rsid w:val="000867AB"/>
    <w:rsid w:val="00086FAC"/>
    <w:rsid w:val="00087AD8"/>
    <w:rsid w:val="00092B9D"/>
    <w:rsid w:val="00096494"/>
    <w:rsid w:val="00097110"/>
    <w:rsid w:val="000A2C7C"/>
    <w:rsid w:val="000A4D3E"/>
    <w:rsid w:val="000A5618"/>
    <w:rsid w:val="000A6391"/>
    <w:rsid w:val="000B17CC"/>
    <w:rsid w:val="000B26C7"/>
    <w:rsid w:val="000B2D15"/>
    <w:rsid w:val="000B4C53"/>
    <w:rsid w:val="000B5599"/>
    <w:rsid w:val="000C124A"/>
    <w:rsid w:val="000C36B2"/>
    <w:rsid w:val="000C6A6F"/>
    <w:rsid w:val="000C7343"/>
    <w:rsid w:val="000D21DB"/>
    <w:rsid w:val="000D55EB"/>
    <w:rsid w:val="000E00ED"/>
    <w:rsid w:val="000E11C0"/>
    <w:rsid w:val="000E42DA"/>
    <w:rsid w:val="000E4425"/>
    <w:rsid w:val="000E4D9C"/>
    <w:rsid w:val="000E5A26"/>
    <w:rsid w:val="000E5B9D"/>
    <w:rsid w:val="000E6350"/>
    <w:rsid w:val="000E650C"/>
    <w:rsid w:val="000E7117"/>
    <w:rsid w:val="000E7F43"/>
    <w:rsid w:val="000F678E"/>
    <w:rsid w:val="000F74B5"/>
    <w:rsid w:val="00102495"/>
    <w:rsid w:val="00102DCB"/>
    <w:rsid w:val="001036EA"/>
    <w:rsid w:val="0010707F"/>
    <w:rsid w:val="00107CB6"/>
    <w:rsid w:val="001101C5"/>
    <w:rsid w:val="0011296C"/>
    <w:rsid w:val="0011324D"/>
    <w:rsid w:val="0011386A"/>
    <w:rsid w:val="00117F98"/>
    <w:rsid w:val="001218FD"/>
    <w:rsid w:val="001225C6"/>
    <w:rsid w:val="0012398B"/>
    <w:rsid w:val="00125131"/>
    <w:rsid w:val="00127178"/>
    <w:rsid w:val="00132200"/>
    <w:rsid w:val="001335BD"/>
    <w:rsid w:val="001351CA"/>
    <w:rsid w:val="00135D51"/>
    <w:rsid w:val="0013639A"/>
    <w:rsid w:val="00136FA1"/>
    <w:rsid w:val="0014072D"/>
    <w:rsid w:val="00141806"/>
    <w:rsid w:val="001421D0"/>
    <w:rsid w:val="001430DB"/>
    <w:rsid w:val="00144FBD"/>
    <w:rsid w:val="00145ED2"/>
    <w:rsid w:val="00150AA0"/>
    <w:rsid w:val="00151C0B"/>
    <w:rsid w:val="00151C4D"/>
    <w:rsid w:val="00155DE6"/>
    <w:rsid w:val="001561EF"/>
    <w:rsid w:val="001565B4"/>
    <w:rsid w:val="0015700B"/>
    <w:rsid w:val="00162581"/>
    <w:rsid w:val="001628CA"/>
    <w:rsid w:val="001629A1"/>
    <w:rsid w:val="001639BA"/>
    <w:rsid w:val="00165F53"/>
    <w:rsid w:val="00170847"/>
    <w:rsid w:val="0017260D"/>
    <w:rsid w:val="00173078"/>
    <w:rsid w:val="001732D8"/>
    <w:rsid w:val="00175EB5"/>
    <w:rsid w:val="00180549"/>
    <w:rsid w:val="00181C57"/>
    <w:rsid w:val="00185D99"/>
    <w:rsid w:val="00186D09"/>
    <w:rsid w:val="001907B2"/>
    <w:rsid w:val="0019193D"/>
    <w:rsid w:val="0019429F"/>
    <w:rsid w:val="00197138"/>
    <w:rsid w:val="001A0435"/>
    <w:rsid w:val="001A40B7"/>
    <w:rsid w:val="001A65CA"/>
    <w:rsid w:val="001A7EFC"/>
    <w:rsid w:val="001B1CD0"/>
    <w:rsid w:val="001B1E98"/>
    <w:rsid w:val="001B7446"/>
    <w:rsid w:val="001C3D2E"/>
    <w:rsid w:val="001C3E8C"/>
    <w:rsid w:val="001E3DE5"/>
    <w:rsid w:val="001E5014"/>
    <w:rsid w:val="001E50D6"/>
    <w:rsid w:val="001E6BB0"/>
    <w:rsid w:val="001F3C7E"/>
    <w:rsid w:val="001F42CD"/>
    <w:rsid w:val="001F4764"/>
    <w:rsid w:val="001F5B22"/>
    <w:rsid w:val="0020067A"/>
    <w:rsid w:val="0020161C"/>
    <w:rsid w:val="002043C9"/>
    <w:rsid w:val="002077DF"/>
    <w:rsid w:val="00215E49"/>
    <w:rsid w:val="00216ACF"/>
    <w:rsid w:val="00225761"/>
    <w:rsid w:val="00226590"/>
    <w:rsid w:val="002300B2"/>
    <w:rsid w:val="00231506"/>
    <w:rsid w:val="002324C2"/>
    <w:rsid w:val="00232D1D"/>
    <w:rsid w:val="00237A4C"/>
    <w:rsid w:val="00246C43"/>
    <w:rsid w:val="00250249"/>
    <w:rsid w:val="002523FC"/>
    <w:rsid w:val="00254782"/>
    <w:rsid w:val="00255629"/>
    <w:rsid w:val="00262487"/>
    <w:rsid w:val="0026527D"/>
    <w:rsid w:val="002758A4"/>
    <w:rsid w:val="00276D9B"/>
    <w:rsid w:val="00280400"/>
    <w:rsid w:val="00281E42"/>
    <w:rsid w:val="00282311"/>
    <w:rsid w:val="002831D2"/>
    <w:rsid w:val="002831DB"/>
    <w:rsid w:val="00284D9B"/>
    <w:rsid w:val="00286885"/>
    <w:rsid w:val="00286DC7"/>
    <w:rsid w:val="00291B52"/>
    <w:rsid w:val="00292069"/>
    <w:rsid w:val="00292522"/>
    <w:rsid w:val="0029318D"/>
    <w:rsid w:val="0029366D"/>
    <w:rsid w:val="00296622"/>
    <w:rsid w:val="002A0789"/>
    <w:rsid w:val="002A2970"/>
    <w:rsid w:val="002A3040"/>
    <w:rsid w:val="002A3055"/>
    <w:rsid w:val="002A6393"/>
    <w:rsid w:val="002B273D"/>
    <w:rsid w:val="002B3445"/>
    <w:rsid w:val="002B348B"/>
    <w:rsid w:val="002B3ECA"/>
    <w:rsid w:val="002C16DF"/>
    <w:rsid w:val="002C21A2"/>
    <w:rsid w:val="002C3A48"/>
    <w:rsid w:val="002C4880"/>
    <w:rsid w:val="002D0DBF"/>
    <w:rsid w:val="002D490F"/>
    <w:rsid w:val="002D736B"/>
    <w:rsid w:val="002E1F99"/>
    <w:rsid w:val="002E49AB"/>
    <w:rsid w:val="002E6B98"/>
    <w:rsid w:val="002E7986"/>
    <w:rsid w:val="002F12CE"/>
    <w:rsid w:val="002F1CBC"/>
    <w:rsid w:val="002F5A55"/>
    <w:rsid w:val="002F7518"/>
    <w:rsid w:val="003001C6"/>
    <w:rsid w:val="00301B86"/>
    <w:rsid w:val="003049C6"/>
    <w:rsid w:val="003065B4"/>
    <w:rsid w:val="00312EF2"/>
    <w:rsid w:val="00313352"/>
    <w:rsid w:val="00315345"/>
    <w:rsid w:val="003160B3"/>
    <w:rsid w:val="00321B4C"/>
    <w:rsid w:val="00325A32"/>
    <w:rsid w:val="0032636A"/>
    <w:rsid w:val="003276FA"/>
    <w:rsid w:val="003317BC"/>
    <w:rsid w:val="0033492C"/>
    <w:rsid w:val="00336026"/>
    <w:rsid w:val="00336B5D"/>
    <w:rsid w:val="00341019"/>
    <w:rsid w:val="00350EF8"/>
    <w:rsid w:val="00353FF0"/>
    <w:rsid w:val="003541B5"/>
    <w:rsid w:val="003553BA"/>
    <w:rsid w:val="00363589"/>
    <w:rsid w:val="003651D7"/>
    <w:rsid w:val="00367CA6"/>
    <w:rsid w:val="00371DE9"/>
    <w:rsid w:val="00371EE1"/>
    <w:rsid w:val="00372847"/>
    <w:rsid w:val="0037735B"/>
    <w:rsid w:val="003853C8"/>
    <w:rsid w:val="003874A5"/>
    <w:rsid w:val="003874C5"/>
    <w:rsid w:val="00391A82"/>
    <w:rsid w:val="00392C68"/>
    <w:rsid w:val="003A18D7"/>
    <w:rsid w:val="003A30FF"/>
    <w:rsid w:val="003B1BB3"/>
    <w:rsid w:val="003B5615"/>
    <w:rsid w:val="003B5976"/>
    <w:rsid w:val="003C1A00"/>
    <w:rsid w:val="003C1B4D"/>
    <w:rsid w:val="003C2E20"/>
    <w:rsid w:val="003C529B"/>
    <w:rsid w:val="003C5519"/>
    <w:rsid w:val="003C57C7"/>
    <w:rsid w:val="003D3594"/>
    <w:rsid w:val="003D6A11"/>
    <w:rsid w:val="003D6B02"/>
    <w:rsid w:val="003D788D"/>
    <w:rsid w:val="003E1DB9"/>
    <w:rsid w:val="003E204B"/>
    <w:rsid w:val="003F050E"/>
    <w:rsid w:val="003F0923"/>
    <w:rsid w:val="003F22CC"/>
    <w:rsid w:val="003F2790"/>
    <w:rsid w:val="003F4EC2"/>
    <w:rsid w:val="003F56DD"/>
    <w:rsid w:val="003F7097"/>
    <w:rsid w:val="003F7CD1"/>
    <w:rsid w:val="0040031F"/>
    <w:rsid w:val="00403170"/>
    <w:rsid w:val="00403AE9"/>
    <w:rsid w:val="004040B9"/>
    <w:rsid w:val="004045BA"/>
    <w:rsid w:val="0040554A"/>
    <w:rsid w:val="004058DF"/>
    <w:rsid w:val="00405EB7"/>
    <w:rsid w:val="004077BA"/>
    <w:rsid w:val="00411995"/>
    <w:rsid w:val="0041224D"/>
    <w:rsid w:val="004153CD"/>
    <w:rsid w:val="004202B2"/>
    <w:rsid w:val="004204C1"/>
    <w:rsid w:val="004236DB"/>
    <w:rsid w:val="00424A07"/>
    <w:rsid w:val="004256BE"/>
    <w:rsid w:val="00425D0A"/>
    <w:rsid w:val="00426ED9"/>
    <w:rsid w:val="00431A38"/>
    <w:rsid w:val="00433D34"/>
    <w:rsid w:val="00440DCD"/>
    <w:rsid w:val="0044202D"/>
    <w:rsid w:val="004438CB"/>
    <w:rsid w:val="00447030"/>
    <w:rsid w:val="0045004B"/>
    <w:rsid w:val="00450AD9"/>
    <w:rsid w:val="00453678"/>
    <w:rsid w:val="00454BD2"/>
    <w:rsid w:val="00456B0F"/>
    <w:rsid w:val="004607A5"/>
    <w:rsid w:val="00462BBD"/>
    <w:rsid w:val="00463C5E"/>
    <w:rsid w:val="00466AD2"/>
    <w:rsid w:val="00466B83"/>
    <w:rsid w:val="004705B9"/>
    <w:rsid w:val="004719BC"/>
    <w:rsid w:val="004725CB"/>
    <w:rsid w:val="00473149"/>
    <w:rsid w:val="0047512C"/>
    <w:rsid w:val="00475854"/>
    <w:rsid w:val="00475A20"/>
    <w:rsid w:val="004768DD"/>
    <w:rsid w:val="00476DD5"/>
    <w:rsid w:val="00485163"/>
    <w:rsid w:val="00485BA8"/>
    <w:rsid w:val="00491A3C"/>
    <w:rsid w:val="0049313E"/>
    <w:rsid w:val="00493285"/>
    <w:rsid w:val="00494370"/>
    <w:rsid w:val="00495BDC"/>
    <w:rsid w:val="0049695C"/>
    <w:rsid w:val="00496C3B"/>
    <w:rsid w:val="004A1DA3"/>
    <w:rsid w:val="004A3370"/>
    <w:rsid w:val="004A59D8"/>
    <w:rsid w:val="004B09DA"/>
    <w:rsid w:val="004B33A5"/>
    <w:rsid w:val="004B546E"/>
    <w:rsid w:val="004B59B3"/>
    <w:rsid w:val="004B59DE"/>
    <w:rsid w:val="004B5C16"/>
    <w:rsid w:val="004C03AC"/>
    <w:rsid w:val="004C3608"/>
    <w:rsid w:val="004C43F1"/>
    <w:rsid w:val="004C6DF3"/>
    <w:rsid w:val="004C7723"/>
    <w:rsid w:val="004C776A"/>
    <w:rsid w:val="004D4AEB"/>
    <w:rsid w:val="004D4C06"/>
    <w:rsid w:val="004D55DA"/>
    <w:rsid w:val="004D68CE"/>
    <w:rsid w:val="004E009F"/>
    <w:rsid w:val="004E5D43"/>
    <w:rsid w:val="004E6A64"/>
    <w:rsid w:val="004E7719"/>
    <w:rsid w:val="004F0496"/>
    <w:rsid w:val="004F11C1"/>
    <w:rsid w:val="004F1976"/>
    <w:rsid w:val="004F2FC9"/>
    <w:rsid w:val="004F408C"/>
    <w:rsid w:val="004F42D3"/>
    <w:rsid w:val="004F7E66"/>
    <w:rsid w:val="0050107C"/>
    <w:rsid w:val="00501DC6"/>
    <w:rsid w:val="00502AAC"/>
    <w:rsid w:val="0050335A"/>
    <w:rsid w:val="005034E6"/>
    <w:rsid w:val="0050399C"/>
    <w:rsid w:val="005043EC"/>
    <w:rsid w:val="0050493A"/>
    <w:rsid w:val="00504974"/>
    <w:rsid w:val="00506CA9"/>
    <w:rsid w:val="00511298"/>
    <w:rsid w:val="0051382C"/>
    <w:rsid w:val="00515FA7"/>
    <w:rsid w:val="00522C89"/>
    <w:rsid w:val="00522F24"/>
    <w:rsid w:val="00524419"/>
    <w:rsid w:val="0052482B"/>
    <w:rsid w:val="005274D3"/>
    <w:rsid w:val="0053116D"/>
    <w:rsid w:val="00532258"/>
    <w:rsid w:val="0053376E"/>
    <w:rsid w:val="00534ABA"/>
    <w:rsid w:val="00545AAF"/>
    <w:rsid w:val="00545EF7"/>
    <w:rsid w:val="005529CF"/>
    <w:rsid w:val="00556679"/>
    <w:rsid w:val="00560D1E"/>
    <w:rsid w:val="00562860"/>
    <w:rsid w:val="00562D22"/>
    <w:rsid w:val="005638CD"/>
    <w:rsid w:val="00564044"/>
    <w:rsid w:val="0056743A"/>
    <w:rsid w:val="0057089F"/>
    <w:rsid w:val="00572125"/>
    <w:rsid w:val="0057328E"/>
    <w:rsid w:val="00577422"/>
    <w:rsid w:val="005777F1"/>
    <w:rsid w:val="00583CB6"/>
    <w:rsid w:val="00587AA7"/>
    <w:rsid w:val="00590B81"/>
    <w:rsid w:val="00591BC5"/>
    <w:rsid w:val="00593649"/>
    <w:rsid w:val="00594BBD"/>
    <w:rsid w:val="00594F5D"/>
    <w:rsid w:val="00596831"/>
    <w:rsid w:val="00597637"/>
    <w:rsid w:val="005A1E15"/>
    <w:rsid w:val="005A2D90"/>
    <w:rsid w:val="005A349D"/>
    <w:rsid w:val="005A3C18"/>
    <w:rsid w:val="005A47C1"/>
    <w:rsid w:val="005A64FB"/>
    <w:rsid w:val="005A732C"/>
    <w:rsid w:val="005A7C17"/>
    <w:rsid w:val="005A7D2B"/>
    <w:rsid w:val="005B4D62"/>
    <w:rsid w:val="005B4EF4"/>
    <w:rsid w:val="005C21FE"/>
    <w:rsid w:val="005C22AE"/>
    <w:rsid w:val="005C3B59"/>
    <w:rsid w:val="005C5B25"/>
    <w:rsid w:val="005C65C4"/>
    <w:rsid w:val="005D34E2"/>
    <w:rsid w:val="005D403B"/>
    <w:rsid w:val="005D6E82"/>
    <w:rsid w:val="005D7552"/>
    <w:rsid w:val="005E2907"/>
    <w:rsid w:val="005E3AEF"/>
    <w:rsid w:val="005E44C3"/>
    <w:rsid w:val="005E4FFF"/>
    <w:rsid w:val="005E6CD4"/>
    <w:rsid w:val="005E6D54"/>
    <w:rsid w:val="005E78C7"/>
    <w:rsid w:val="005F2DDA"/>
    <w:rsid w:val="005F3237"/>
    <w:rsid w:val="005F3B9C"/>
    <w:rsid w:val="005F4737"/>
    <w:rsid w:val="005F57C3"/>
    <w:rsid w:val="00600BFB"/>
    <w:rsid w:val="00601B7F"/>
    <w:rsid w:val="006069E4"/>
    <w:rsid w:val="00607C56"/>
    <w:rsid w:val="00610122"/>
    <w:rsid w:val="006104CD"/>
    <w:rsid w:val="006131F2"/>
    <w:rsid w:val="00613D2F"/>
    <w:rsid w:val="00614C0A"/>
    <w:rsid w:val="00614FFD"/>
    <w:rsid w:val="0061695C"/>
    <w:rsid w:val="006172B9"/>
    <w:rsid w:val="006202C6"/>
    <w:rsid w:val="00621B4F"/>
    <w:rsid w:val="00621EDB"/>
    <w:rsid w:val="00622903"/>
    <w:rsid w:val="006235EA"/>
    <w:rsid w:val="006248D5"/>
    <w:rsid w:val="00626EC5"/>
    <w:rsid w:val="0063035D"/>
    <w:rsid w:val="00630CCE"/>
    <w:rsid w:val="00637E73"/>
    <w:rsid w:val="006439D1"/>
    <w:rsid w:val="00645B6D"/>
    <w:rsid w:val="0065024B"/>
    <w:rsid w:val="00653231"/>
    <w:rsid w:val="00653291"/>
    <w:rsid w:val="00657656"/>
    <w:rsid w:val="00664DA7"/>
    <w:rsid w:val="0066573A"/>
    <w:rsid w:val="00667721"/>
    <w:rsid w:val="0067261C"/>
    <w:rsid w:val="00673474"/>
    <w:rsid w:val="00677B3F"/>
    <w:rsid w:val="00680CEB"/>
    <w:rsid w:val="00684EF3"/>
    <w:rsid w:val="00685270"/>
    <w:rsid w:val="00687442"/>
    <w:rsid w:val="0069389A"/>
    <w:rsid w:val="00693E98"/>
    <w:rsid w:val="00696949"/>
    <w:rsid w:val="00697256"/>
    <w:rsid w:val="006A00B6"/>
    <w:rsid w:val="006A0356"/>
    <w:rsid w:val="006A19D8"/>
    <w:rsid w:val="006A3F2D"/>
    <w:rsid w:val="006A58E5"/>
    <w:rsid w:val="006A73E0"/>
    <w:rsid w:val="006A747E"/>
    <w:rsid w:val="006A7666"/>
    <w:rsid w:val="006A7CE5"/>
    <w:rsid w:val="006B34EF"/>
    <w:rsid w:val="006B69A8"/>
    <w:rsid w:val="006C2349"/>
    <w:rsid w:val="006C53C7"/>
    <w:rsid w:val="006C5EE2"/>
    <w:rsid w:val="006D0D4E"/>
    <w:rsid w:val="006D1474"/>
    <w:rsid w:val="006D2C04"/>
    <w:rsid w:val="006D3194"/>
    <w:rsid w:val="006D392E"/>
    <w:rsid w:val="006D5471"/>
    <w:rsid w:val="006D5B7B"/>
    <w:rsid w:val="006D66D7"/>
    <w:rsid w:val="006D6A2D"/>
    <w:rsid w:val="006E021E"/>
    <w:rsid w:val="006E1D06"/>
    <w:rsid w:val="006E3721"/>
    <w:rsid w:val="006E7696"/>
    <w:rsid w:val="006F25E5"/>
    <w:rsid w:val="006F32EB"/>
    <w:rsid w:val="006F4037"/>
    <w:rsid w:val="006F4C97"/>
    <w:rsid w:val="006F7D75"/>
    <w:rsid w:val="00701920"/>
    <w:rsid w:val="0070402D"/>
    <w:rsid w:val="007062D5"/>
    <w:rsid w:val="00710BF8"/>
    <w:rsid w:val="00712CFB"/>
    <w:rsid w:val="007135ED"/>
    <w:rsid w:val="00720E6B"/>
    <w:rsid w:val="00724230"/>
    <w:rsid w:val="00732282"/>
    <w:rsid w:val="007326B1"/>
    <w:rsid w:val="00734B54"/>
    <w:rsid w:val="00735740"/>
    <w:rsid w:val="00735749"/>
    <w:rsid w:val="00736B12"/>
    <w:rsid w:val="00741415"/>
    <w:rsid w:val="007418FD"/>
    <w:rsid w:val="00743159"/>
    <w:rsid w:val="00743E2A"/>
    <w:rsid w:val="007442B4"/>
    <w:rsid w:val="00744330"/>
    <w:rsid w:val="00752420"/>
    <w:rsid w:val="007544F7"/>
    <w:rsid w:val="00755373"/>
    <w:rsid w:val="007613C3"/>
    <w:rsid w:val="00762FB8"/>
    <w:rsid w:val="00767982"/>
    <w:rsid w:val="007679DB"/>
    <w:rsid w:val="00770D9C"/>
    <w:rsid w:val="00770DCA"/>
    <w:rsid w:val="00772D65"/>
    <w:rsid w:val="0077403A"/>
    <w:rsid w:val="007754FB"/>
    <w:rsid w:val="007766C1"/>
    <w:rsid w:val="0078125E"/>
    <w:rsid w:val="007816D2"/>
    <w:rsid w:val="00784E95"/>
    <w:rsid w:val="007853A2"/>
    <w:rsid w:val="00786CBC"/>
    <w:rsid w:val="00791670"/>
    <w:rsid w:val="00791F01"/>
    <w:rsid w:val="0079258F"/>
    <w:rsid w:val="00797EEA"/>
    <w:rsid w:val="007A12B9"/>
    <w:rsid w:val="007A1EC7"/>
    <w:rsid w:val="007A6FF1"/>
    <w:rsid w:val="007A7B47"/>
    <w:rsid w:val="007B20FD"/>
    <w:rsid w:val="007B2C40"/>
    <w:rsid w:val="007B36FE"/>
    <w:rsid w:val="007B4485"/>
    <w:rsid w:val="007B46DA"/>
    <w:rsid w:val="007B548E"/>
    <w:rsid w:val="007B54DC"/>
    <w:rsid w:val="007B5A06"/>
    <w:rsid w:val="007C1CFC"/>
    <w:rsid w:val="007C4D2B"/>
    <w:rsid w:val="007C5336"/>
    <w:rsid w:val="007D0EE4"/>
    <w:rsid w:val="007D6B26"/>
    <w:rsid w:val="007D76C9"/>
    <w:rsid w:val="007E1FC9"/>
    <w:rsid w:val="007E4152"/>
    <w:rsid w:val="007E4469"/>
    <w:rsid w:val="007E461C"/>
    <w:rsid w:val="007E4E6C"/>
    <w:rsid w:val="007E58F0"/>
    <w:rsid w:val="007F6207"/>
    <w:rsid w:val="007F7CCA"/>
    <w:rsid w:val="00800719"/>
    <w:rsid w:val="00803290"/>
    <w:rsid w:val="00810984"/>
    <w:rsid w:val="00811C9B"/>
    <w:rsid w:val="00812D0A"/>
    <w:rsid w:val="00813F39"/>
    <w:rsid w:val="008277FA"/>
    <w:rsid w:val="008278FB"/>
    <w:rsid w:val="0083018D"/>
    <w:rsid w:val="00830B8B"/>
    <w:rsid w:val="00832D95"/>
    <w:rsid w:val="00835E7C"/>
    <w:rsid w:val="0083630B"/>
    <w:rsid w:val="00836497"/>
    <w:rsid w:val="0083679A"/>
    <w:rsid w:val="00836A16"/>
    <w:rsid w:val="008402D8"/>
    <w:rsid w:val="008416A6"/>
    <w:rsid w:val="00841A73"/>
    <w:rsid w:val="00841C48"/>
    <w:rsid w:val="00841E16"/>
    <w:rsid w:val="0084466A"/>
    <w:rsid w:val="00844A0B"/>
    <w:rsid w:val="00845F0C"/>
    <w:rsid w:val="008463CB"/>
    <w:rsid w:val="00852458"/>
    <w:rsid w:val="0085377F"/>
    <w:rsid w:val="008557E8"/>
    <w:rsid w:val="0085614C"/>
    <w:rsid w:val="008600E4"/>
    <w:rsid w:val="00861081"/>
    <w:rsid w:val="0086355F"/>
    <w:rsid w:val="00863F22"/>
    <w:rsid w:val="00865771"/>
    <w:rsid w:val="0086586F"/>
    <w:rsid w:val="0086641B"/>
    <w:rsid w:val="008672ED"/>
    <w:rsid w:val="00882C3F"/>
    <w:rsid w:val="0088317D"/>
    <w:rsid w:val="00884D0C"/>
    <w:rsid w:val="00885283"/>
    <w:rsid w:val="008869BD"/>
    <w:rsid w:val="008904D7"/>
    <w:rsid w:val="008922D4"/>
    <w:rsid w:val="008932D7"/>
    <w:rsid w:val="00893CFE"/>
    <w:rsid w:val="00894317"/>
    <w:rsid w:val="008945FD"/>
    <w:rsid w:val="00895E82"/>
    <w:rsid w:val="0089654F"/>
    <w:rsid w:val="008A1072"/>
    <w:rsid w:val="008A1E92"/>
    <w:rsid w:val="008A36C7"/>
    <w:rsid w:val="008A48FD"/>
    <w:rsid w:val="008A6C6B"/>
    <w:rsid w:val="008B052A"/>
    <w:rsid w:val="008B6BEB"/>
    <w:rsid w:val="008B796D"/>
    <w:rsid w:val="008B7C42"/>
    <w:rsid w:val="008C0E07"/>
    <w:rsid w:val="008C12D9"/>
    <w:rsid w:val="008C3BF4"/>
    <w:rsid w:val="008C7084"/>
    <w:rsid w:val="008D0B80"/>
    <w:rsid w:val="008D0EDE"/>
    <w:rsid w:val="008D4893"/>
    <w:rsid w:val="008D55E0"/>
    <w:rsid w:val="008D5E0A"/>
    <w:rsid w:val="008E088B"/>
    <w:rsid w:val="008E0CCA"/>
    <w:rsid w:val="008E102A"/>
    <w:rsid w:val="008E1B61"/>
    <w:rsid w:val="008E50D4"/>
    <w:rsid w:val="008E6472"/>
    <w:rsid w:val="008F07E4"/>
    <w:rsid w:val="008F1CE9"/>
    <w:rsid w:val="008F31C5"/>
    <w:rsid w:val="008F6749"/>
    <w:rsid w:val="008F6A8F"/>
    <w:rsid w:val="008F71B8"/>
    <w:rsid w:val="008F746B"/>
    <w:rsid w:val="00901FF9"/>
    <w:rsid w:val="00902578"/>
    <w:rsid w:val="00911EB4"/>
    <w:rsid w:val="00912E22"/>
    <w:rsid w:val="009156CA"/>
    <w:rsid w:val="00915ED3"/>
    <w:rsid w:val="00920275"/>
    <w:rsid w:val="0092356F"/>
    <w:rsid w:val="00923FAB"/>
    <w:rsid w:val="00924B08"/>
    <w:rsid w:val="00924BDE"/>
    <w:rsid w:val="00925DD6"/>
    <w:rsid w:val="009270EE"/>
    <w:rsid w:val="0092750B"/>
    <w:rsid w:val="00927A9E"/>
    <w:rsid w:val="00932BCF"/>
    <w:rsid w:val="009340C9"/>
    <w:rsid w:val="009403B3"/>
    <w:rsid w:val="00941D51"/>
    <w:rsid w:val="00943F55"/>
    <w:rsid w:val="009442B5"/>
    <w:rsid w:val="009451D8"/>
    <w:rsid w:val="0094574B"/>
    <w:rsid w:val="00945B35"/>
    <w:rsid w:val="00946EFD"/>
    <w:rsid w:val="00950EE6"/>
    <w:rsid w:val="0095641B"/>
    <w:rsid w:val="009607E2"/>
    <w:rsid w:val="00960DB6"/>
    <w:rsid w:val="00963970"/>
    <w:rsid w:val="00965567"/>
    <w:rsid w:val="00966A07"/>
    <w:rsid w:val="009711EC"/>
    <w:rsid w:val="00971EC7"/>
    <w:rsid w:val="0097212F"/>
    <w:rsid w:val="0097389C"/>
    <w:rsid w:val="00976209"/>
    <w:rsid w:val="009776F5"/>
    <w:rsid w:val="00983391"/>
    <w:rsid w:val="0098532E"/>
    <w:rsid w:val="00985E68"/>
    <w:rsid w:val="009938D7"/>
    <w:rsid w:val="009959A1"/>
    <w:rsid w:val="0099644D"/>
    <w:rsid w:val="00997173"/>
    <w:rsid w:val="009A0DBD"/>
    <w:rsid w:val="009A292F"/>
    <w:rsid w:val="009A61F4"/>
    <w:rsid w:val="009A6DEA"/>
    <w:rsid w:val="009B1D55"/>
    <w:rsid w:val="009C3CAC"/>
    <w:rsid w:val="009C4FEA"/>
    <w:rsid w:val="009D1116"/>
    <w:rsid w:val="009D28D5"/>
    <w:rsid w:val="009D3F89"/>
    <w:rsid w:val="009D40A3"/>
    <w:rsid w:val="009D4B87"/>
    <w:rsid w:val="009D4FD1"/>
    <w:rsid w:val="009E232C"/>
    <w:rsid w:val="009E2341"/>
    <w:rsid w:val="009E4A0A"/>
    <w:rsid w:val="009E741D"/>
    <w:rsid w:val="009F2044"/>
    <w:rsid w:val="009F3966"/>
    <w:rsid w:val="009F4464"/>
    <w:rsid w:val="009F5666"/>
    <w:rsid w:val="009F5F3C"/>
    <w:rsid w:val="009F705F"/>
    <w:rsid w:val="009F7368"/>
    <w:rsid w:val="00A02DF1"/>
    <w:rsid w:val="00A042E0"/>
    <w:rsid w:val="00A07109"/>
    <w:rsid w:val="00A107FC"/>
    <w:rsid w:val="00A11827"/>
    <w:rsid w:val="00A11D23"/>
    <w:rsid w:val="00A12B7A"/>
    <w:rsid w:val="00A14F43"/>
    <w:rsid w:val="00A169B2"/>
    <w:rsid w:val="00A16AD0"/>
    <w:rsid w:val="00A20539"/>
    <w:rsid w:val="00A21902"/>
    <w:rsid w:val="00A305AB"/>
    <w:rsid w:val="00A30CD0"/>
    <w:rsid w:val="00A31C86"/>
    <w:rsid w:val="00A33BCF"/>
    <w:rsid w:val="00A35521"/>
    <w:rsid w:val="00A359F3"/>
    <w:rsid w:val="00A46627"/>
    <w:rsid w:val="00A4723A"/>
    <w:rsid w:val="00A47CF4"/>
    <w:rsid w:val="00A50B22"/>
    <w:rsid w:val="00A53725"/>
    <w:rsid w:val="00A552E7"/>
    <w:rsid w:val="00A610D9"/>
    <w:rsid w:val="00A61ADE"/>
    <w:rsid w:val="00A6374E"/>
    <w:rsid w:val="00A641F7"/>
    <w:rsid w:val="00A64554"/>
    <w:rsid w:val="00A64D98"/>
    <w:rsid w:val="00A6669C"/>
    <w:rsid w:val="00A67DED"/>
    <w:rsid w:val="00A7072E"/>
    <w:rsid w:val="00A737AC"/>
    <w:rsid w:val="00A741BD"/>
    <w:rsid w:val="00A7449E"/>
    <w:rsid w:val="00A8065B"/>
    <w:rsid w:val="00A8083B"/>
    <w:rsid w:val="00A80AF0"/>
    <w:rsid w:val="00A82407"/>
    <w:rsid w:val="00A831CE"/>
    <w:rsid w:val="00A8556C"/>
    <w:rsid w:val="00A856CC"/>
    <w:rsid w:val="00A8635E"/>
    <w:rsid w:val="00A91B08"/>
    <w:rsid w:val="00A91B8A"/>
    <w:rsid w:val="00A91E43"/>
    <w:rsid w:val="00A92E65"/>
    <w:rsid w:val="00A9762A"/>
    <w:rsid w:val="00AA1122"/>
    <w:rsid w:val="00AA18EE"/>
    <w:rsid w:val="00AA3109"/>
    <w:rsid w:val="00AA46E5"/>
    <w:rsid w:val="00AA61A9"/>
    <w:rsid w:val="00AB2151"/>
    <w:rsid w:val="00AB303A"/>
    <w:rsid w:val="00AB4527"/>
    <w:rsid w:val="00AC0171"/>
    <w:rsid w:val="00AD0D44"/>
    <w:rsid w:val="00AD119B"/>
    <w:rsid w:val="00AD4C65"/>
    <w:rsid w:val="00AD4FB8"/>
    <w:rsid w:val="00AD5336"/>
    <w:rsid w:val="00AD74DF"/>
    <w:rsid w:val="00AE2AE2"/>
    <w:rsid w:val="00AE37C8"/>
    <w:rsid w:val="00AE3D4B"/>
    <w:rsid w:val="00AE56CA"/>
    <w:rsid w:val="00AE5D44"/>
    <w:rsid w:val="00AE7B84"/>
    <w:rsid w:val="00AF4C72"/>
    <w:rsid w:val="00AF4F98"/>
    <w:rsid w:val="00B02A3B"/>
    <w:rsid w:val="00B031D6"/>
    <w:rsid w:val="00B04D42"/>
    <w:rsid w:val="00B04D6E"/>
    <w:rsid w:val="00B06B1F"/>
    <w:rsid w:val="00B100AF"/>
    <w:rsid w:val="00B13E4D"/>
    <w:rsid w:val="00B153AD"/>
    <w:rsid w:val="00B17B47"/>
    <w:rsid w:val="00B22F5E"/>
    <w:rsid w:val="00B2376D"/>
    <w:rsid w:val="00B240B3"/>
    <w:rsid w:val="00B26761"/>
    <w:rsid w:val="00B2736D"/>
    <w:rsid w:val="00B27907"/>
    <w:rsid w:val="00B33DA5"/>
    <w:rsid w:val="00B460F6"/>
    <w:rsid w:val="00B46955"/>
    <w:rsid w:val="00B50740"/>
    <w:rsid w:val="00B50C69"/>
    <w:rsid w:val="00B53545"/>
    <w:rsid w:val="00B5387D"/>
    <w:rsid w:val="00B54314"/>
    <w:rsid w:val="00B57C9F"/>
    <w:rsid w:val="00B627C3"/>
    <w:rsid w:val="00B63CCD"/>
    <w:rsid w:val="00B641FE"/>
    <w:rsid w:val="00B6638B"/>
    <w:rsid w:val="00B66E97"/>
    <w:rsid w:val="00B70128"/>
    <w:rsid w:val="00B71B43"/>
    <w:rsid w:val="00B73A5C"/>
    <w:rsid w:val="00B73A94"/>
    <w:rsid w:val="00B73BE1"/>
    <w:rsid w:val="00B73C6A"/>
    <w:rsid w:val="00B811EB"/>
    <w:rsid w:val="00B84E23"/>
    <w:rsid w:val="00B85314"/>
    <w:rsid w:val="00B85860"/>
    <w:rsid w:val="00B871E1"/>
    <w:rsid w:val="00B87D74"/>
    <w:rsid w:val="00B87ED3"/>
    <w:rsid w:val="00B91D58"/>
    <w:rsid w:val="00B97FCA"/>
    <w:rsid w:val="00BA04E2"/>
    <w:rsid w:val="00BA1E2E"/>
    <w:rsid w:val="00BA4831"/>
    <w:rsid w:val="00BA4E5B"/>
    <w:rsid w:val="00BA56E6"/>
    <w:rsid w:val="00BA6257"/>
    <w:rsid w:val="00BA73D9"/>
    <w:rsid w:val="00BB01C0"/>
    <w:rsid w:val="00BB6D22"/>
    <w:rsid w:val="00BB77DB"/>
    <w:rsid w:val="00BC0A13"/>
    <w:rsid w:val="00BC16CB"/>
    <w:rsid w:val="00BC37B7"/>
    <w:rsid w:val="00BC3961"/>
    <w:rsid w:val="00BD2BCC"/>
    <w:rsid w:val="00BD2D2D"/>
    <w:rsid w:val="00BD4BAC"/>
    <w:rsid w:val="00BD5C4D"/>
    <w:rsid w:val="00BD5F97"/>
    <w:rsid w:val="00BD6D37"/>
    <w:rsid w:val="00BE0CA7"/>
    <w:rsid w:val="00BE7446"/>
    <w:rsid w:val="00BF5FDB"/>
    <w:rsid w:val="00BF7440"/>
    <w:rsid w:val="00C011AE"/>
    <w:rsid w:val="00C01427"/>
    <w:rsid w:val="00C03FC7"/>
    <w:rsid w:val="00C10E83"/>
    <w:rsid w:val="00C13C87"/>
    <w:rsid w:val="00C13DAD"/>
    <w:rsid w:val="00C14411"/>
    <w:rsid w:val="00C1537C"/>
    <w:rsid w:val="00C15809"/>
    <w:rsid w:val="00C15C5C"/>
    <w:rsid w:val="00C16D4F"/>
    <w:rsid w:val="00C172D5"/>
    <w:rsid w:val="00C217D0"/>
    <w:rsid w:val="00C23A3F"/>
    <w:rsid w:val="00C272BD"/>
    <w:rsid w:val="00C3150E"/>
    <w:rsid w:val="00C31AC1"/>
    <w:rsid w:val="00C3269A"/>
    <w:rsid w:val="00C40EBB"/>
    <w:rsid w:val="00C42751"/>
    <w:rsid w:val="00C44860"/>
    <w:rsid w:val="00C4598C"/>
    <w:rsid w:val="00C45A34"/>
    <w:rsid w:val="00C54EEF"/>
    <w:rsid w:val="00C55EA4"/>
    <w:rsid w:val="00C5712F"/>
    <w:rsid w:val="00C57FAB"/>
    <w:rsid w:val="00C62DAE"/>
    <w:rsid w:val="00C64074"/>
    <w:rsid w:val="00C646CD"/>
    <w:rsid w:val="00C67D5B"/>
    <w:rsid w:val="00C713D8"/>
    <w:rsid w:val="00C733D1"/>
    <w:rsid w:val="00C759ED"/>
    <w:rsid w:val="00C75FB6"/>
    <w:rsid w:val="00C7697F"/>
    <w:rsid w:val="00C77E44"/>
    <w:rsid w:val="00C805FC"/>
    <w:rsid w:val="00C80AEA"/>
    <w:rsid w:val="00C812A9"/>
    <w:rsid w:val="00C8254C"/>
    <w:rsid w:val="00C87DA9"/>
    <w:rsid w:val="00C918BD"/>
    <w:rsid w:val="00C91B2B"/>
    <w:rsid w:val="00C92149"/>
    <w:rsid w:val="00C92F1B"/>
    <w:rsid w:val="00C9524D"/>
    <w:rsid w:val="00C954D0"/>
    <w:rsid w:val="00C957BC"/>
    <w:rsid w:val="00C97462"/>
    <w:rsid w:val="00CA327C"/>
    <w:rsid w:val="00CA3B02"/>
    <w:rsid w:val="00CA575A"/>
    <w:rsid w:val="00CA63B3"/>
    <w:rsid w:val="00CB2664"/>
    <w:rsid w:val="00CB387C"/>
    <w:rsid w:val="00CB3FFB"/>
    <w:rsid w:val="00CB4AE7"/>
    <w:rsid w:val="00CB7ABE"/>
    <w:rsid w:val="00CC5FEB"/>
    <w:rsid w:val="00CD143A"/>
    <w:rsid w:val="00CD1475"/>
    <w:rsid w:val="00CD502C"/>
    <w:rsid w:val="00CD7C1F"/>
    <w:rsid w:val="00CE106E"/>
    <w:rsid w:val="00CE3740"/>
    <w:rsid w:val="00CE6927"/>
    <w:rsid w:val="00CF2066"/>
    <w:rsid w:val="00CF5330"/>
    <w:rsid w:val="00CF7E6E"/>
    <w:rsid w:val="00D001BC"/>
    <w:rsid w:val="00D007CB"/>
    <w:rsid w:val="00D007EA"/>
    <w:rsid w:val="00D03CE0"/>
    <w:rsid w:val="00D10ADE"/>
    <w:rsid w:val="00D10C2F"/>
    <w:rsid w:val="00D10C66"/>
    <w:rsid w:val="00D11029"/>
    <w:rsid w:val="00D11068"/>
    <w:rsid w:val="00D11F12"/>
    <w:rsid w:val="00D154C2"/>
    <w:rsid w:val="00D1780C"/>
    <w:rsid w:val="00D17A23"/>
    <w:rsid w:val="00D225FC"/>
    <w:rsid w:val="00D252FD"/>
    <w:rsid w:val="00D3093F"/>
    <w:rsid w:val="00D31174"/>
    <w:rsid w:val="00D3237F"/>
    <w:rsid w:val="00D349BA"/>
    <w:rsid w:val="00D375CA"/>
    <w:rsid w:val="00D4032F"/>
    <w:rsid w:val="00D4041C"/>
    <w:rsid w:val="00D42F78"/>
    <w:rsid w:val="00D430F3"/>
    <w:rsid w:val="00D43132"/>
    <w:rsid w:val="00D45EB3"/>
    <w:rsid w:val="00D46C13"/>
    <w:rsid w:val="00D5465E"/>
    <w:rsid w:val="00D56D7D"/>
    <w:rsid w:val="00D607FC"/>
    <w:rsid w:val="00D60878"/>
    <w:rsid w:val="00D61176"/>
    <w:rsid w:val="00D612A7"/>
    <w:rsid w:val="00D63CF0"/>
    <w:rsid w:val="00D657CB"/>
    <w:rsid w:val="00D702B7"/>
    <w:rsid w:val="00D70315"/>
    <w:rsid w:val="00D71A94"/>
    <w:rsid w:val="00D72A10"/>
    <w:rsid w:val="00D75ECB"/>
    <w:rsid w:val="00D81DFE"/>
    <w:rsid w:val="00D82E65"/>
    <w:rsid w:val="00D85E56"/>
    <w:rsid w:val="00D86FBF"/>
    <w:rsid w:val="00D95C30"/>
    <w:rsid w:val="00D95D8C"/>
    <w:rsid w:val="00D960A9"/>
    <w:rsid w:val="00DA0665"/>
    <w:rsid w:val="00DA44B1"/>
    <w:rsid w:val="00DA5D07"/>
    <w:rsid w:val="00DA5F78"/>
    <w:rsid w:val="00DA7A8B"/>
    <w:rsid w:val="00DB0343"/>
    <w:rsid w:val="00DB0C40"/>
    <w:rsid w:val="00DB1A24"/>
    <w:rsid w:val="00DB61E2"/>
    <w:rsid w:val="00DC0D92"/>
    <w:rsid w:val="00DC3C52"/>
    <w:rsid w:val="00DC5BDB"/>
    <w:rsid w:val="00DC5C93"/>
    <w:rsid w:val="00DD180D"/>
    <w:rsid w:val="00DD2DE8"/>
    <w:rsid w:val="00DD549A"/>
    <w:rsid w:val="00DD62E8"/>
    <w:rsid w:val="00DD640A"/>
    <w:rsid w:val="00DD7EC1"/>
    <w:rsid w:val="00DE0CBB"/>
    <w:rsid w:val="00DE207C"/>
    <w:rsid w:val="00DE3353"/>
    <w:rsid w:val="00DE5CDB"/>
    <w:rsid w:val="00DF78E1"/>
    <w:rsid w:val="00E1251A"/>
    <w:rsid w:val="00E137BC"/>
    <w:rsid w:val="00E17FAD"/>
    <w:rsid w:val="00E226AE"/>
    <w:rsid w:val="00E22FDA"/>
    <w:rsid w:val="00E244A5"/>
    <w:rsid w:val="00E27479"/>
    <w:rsid w:val="00E310B8"/>
    <w:rsid w:val="00E334AD"/>
    <w:rsid w:val="00E33568"/>
    <w:rsid w:val="00E35A18"/>
    <w:rsid w:val="00E40229"/>
    <w:rsid w:val="00E42720"/>
    <w:rsid w:val="00E42DB0"/>
    <w:rsid w:val="00E43293"/>
    <w:rsid w:val="00E43D75"/>
    <w:rsid w:val="00E4523B"/>
    <w:rsid w:val="00E4542B"/>
    <w:rsid w:val="00E46A06"/>
    <w:rsid w:val="00E471AD"/>
    <w:rsid w:val="00E471CB"/>
    <w:rsid w:val="00E515E6"/>
    <w:rsid w:val="00E51D8D"/>
    <w:rsid w:val="00E53438"/>
    <w:rsid w:val="00E55025"/>
    <w:rsid w:val="00E601FE"/>
    <w:rsid w:val="00E6171C"/>
    <w:rsid w:val="00E6255F"/>
    <w:rsid w:val="00E62DA6"/>
    <w:rsid w:val="00E654ED"/>
    <w:rsid w:val="00E6701A"/>
    <w:rsid w:val="00E67E55"/>
    <w:rsid w:val="00E71B13"/>
    <w:rsid w:val="00E72418"/>
    <w:rsid w:val="00E72D10"/>
    <w:rsid w:val="00E73DB8"/>
    <w:rsid w:val="00E7418C"/>
    <w:rsid w:val="00E75661"/>
    <w:rsid w:val="00E769DD"/>
    <w:rsid w:val="00E83056"/>
    <w:rsid w:val="00E84AA6"/>
    <w:rsid w:val="00E85AD9"/>
    <w:rsid w:val="00E91B9F"/>
    <w:rsid w:val="00E9416A"/>
    <w:rsid w:val="00E957C3"/>
    <w:rsid w:val="00EA08EC"/>
    <w:rsid w:val="00EA3DBE"/>
    <w:rsid w:val="00EA6733"/>
    <w:rsid w:val="00EA779D"/>
    <w:rsid w:val="00EB4999"/>
    <w:rsid w:val="00EB5849"/>
    <w:rsid w:val="00EC0664"/>
    <w:rsid w:val="00EC464C"/>
    <w:rsid w:val="00EC6ECB"/>
    <w:rsid w:val="00ED03DD"/>
    <w:rsid w:val="00ED0CC0"/>
    <w:rsid w:val="00ED30FF"/>
    <w:rsid w:val="00ED46BE"/>
    <w:rsid w:val="00ED6963"/>
    <w:rsid w:val="00ED7893"/>
    <w:rsid w:val="00EE09B9"/>
    <w:rsid w:val="00EE1087"/>
    <w:rsid w:val="00EE12F6"/>
    <w:rsid w:val="00EE3433"/>
    <w:rsid w:val="00EE4C8D"/>
    <w:rsid w:val="00EE6591"/>
    <w:rsid w:val="00EE7732"/>
    <w:rsid w:val="00EE792E"/>
    <w:rsid w:val="00EF190D"/>
    <w:rsid w:val="00EF29F0"/>
    <w:rsid w:val="00EF3F2B"/>
    <w:rsid w:val="00EF4117"/>
    <w:rsid w:val="00F0043A"/>
    <w:rsid w:val="00F01466"/>
    <w:rsid w:val="00F02EDD"/>
    <w:rsid w:val="00F038AF"/>
    <w:rsid w:val="00F04EC8"/>
    <w:rsid w:val="00F05616"/>
    <w:rsid w:val="00F05CF4"/>
    <w:rsid w:val="00F07AEB"/>
    <w:rsid w:val="00F1171B"/>
    <w:rsid w:val="00F130C3"/>
    <w:rsid w:val="00F14864"/>
    <w:rsid w:val="00F20FD1"/>
    <w:rsid w:val="00F23D5A"/>
    <w:rsid w:val="00F25679"/>
    <w:rsid w:val="00F25CB7"/>
    <w:rsid w:val="00F25D6C"/>
    <w:rsid w:val="00F279BA"/>
    <w:rsid w:val="00F320E9"/>
    <w:rsid w:val="00F3230C"/>
    <w:rsid w:val="00F369D5"/>
    <w:rsid w:val="00F36B42"/>
    <w:rsid w:val="00F404A6"/>
    <w:rsid w:val="00F40807"/>
    <w:rsid w:val="00F411E6"/>
    <w:rsid w:val="00F43244"/>
    <w:rsid w:val="00F46672"/>
    <w:rsid w:val="00F5057A"/>
    <w:rsid w:val="00F512B9"/>
    <w:rsid w:val="00F558D6"/>
    <w:rsid w:val="00F55A46"/>
    <w:rsid w:val="00F573A6"/>
    <w:rsid w:val="00F66D85"/>
    <w:rsid w:val="00F730AD"/>
    <w:rsid w:val="00F74574"/>
    <w:rsid w:val="00F74EDC"/>
    <w:rsid w:val="00F75D9A"/>
    <w:rsid w:val="00F77BA8"/>
    <w:rsid w:val="00F806DB"/>
    <w:rsid w:val="00F81DBE"/>
    <w:rsid w:val="00F83E87"/>
    <w:rsid w:val="00F842DB"/>
    <w:rsid w:val="00F85437"/>
    <w:rsid w:val="00F878B4"/>
    <w:rsid w:val="00F87A45"/>
    <w:rsid w:val="00F925BE"/>
    <w:rsid w:val="00F93770"/>
    <w:rsid w:val="00F96370"/>
    <w:rsid w:val="00F9654F"/>
    <w:rsid w:val="00F9660D"/>
    <w:rsid w:val="00FA3ABA"/>
    <w:rsid w:val="00FA7B4B"/>
    <w:rsid w:val="00FB0AD9"/>
    <w:rsid w:val="00FB2998"/>
    <w:rsid w:val="00FB37B7"/>
    <w:rsid w:val="00FB519C"/>
    <w:rsid w:val="00FC1485"/>
    <w:rsid w:val="00FC1D9A"/>
    <w:rsid w:val="00FC21ED"/>
    <w:rsid w:val="00FC2F51"/>
    <w:rsid w:val="00FC43DD"/>
    <w:rsid w:val="00FC4499"/>
    <w:rsid w:val="00FD0BB2"/>
    <w:rsid w:val="00FD1252"/>
    <w:rsid w:val="00FD2E4F"/>
    <w:rsid w:val="00FD4ADA"/>
    <w:rsid w:val="00FD51F8"/>
    <w:rsid w:val="00FD5FAC"/>
    <w:rsid w:val="00FD64FD"/>
    <w:rsid w:val="00FD75A1"/>
    <w:rsid w:val="00FD77A4"/>
    <w:rsid w:val="00FE15C3"/>
    <w:rsid w:val="00FE64EE"/>
    <w:rsid w:val="00FF018B"/>
    <w:rsid w:val="00FF0E13"/>
    <w:rsid w:val="00FF230D"/>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67F9"/>
  <w15:chartTrackingRefBased/>
  <w15:docId w15:val="{7953CED9-B736-45EC-B7BA-77B87542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26"/>
  </w:style>
  <w:style w:type="paragraph" w:styleId="Heading1">
    <w:name w:val="heading 1"/>
    <w:basedOn w:val="Normal"/>
    <w:next w:val="Normal"/>
    <w:link w:val="Heading1Char"/>
    <w:uiPriority w:val="9"/>
    <w:qFormat/>
    <w:rsid w:val="00336026"/>
    <w:pPr>
      <w:keepNext/>
      <w:keepLines/>
      <w:spacing w:before="320" w:after="80" w:line="240" w:lineRule="auto"/>
      <w:jc w:val="center"/>
      <w:outlineLvl w:val="0"/>
    </w:pPr>
    <w:rPr>
      <w:rFonts w:asciiTheme="majorHAnsi" w:eastAsiaTheme="majorEastAsia" w:hAnsiTheme="majorHAnsi" w:cstheme="majorBidi"/>
      <w:color w:val="107DC5" w:themeColor="accent1" w:themeShade="BF"/>
      <w:sz w:val="40"/>
      <w:szCs w:val="40"/>
    </w:rPr>
  </w:style>
  <w:style w:type="paragraph" w:styleId="Heading2">
    <w:name w:val="heading 2"/>
    <w:basedOn w:val="Normal"/>
    <w:next w:val="Normal"/>
    <w:link w:val="Heading2Char"/>
    <w:uiPriority w:val="9"/>
    <w:unhideWhenUsed/>
    <w:qFormat/>
    <w:rsid w:val="0033602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3602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3602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3602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3602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3602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3602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02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6026"/>
    <w:pPr>
      <w:pBdr>
        <w:top w:val="single" w:sz="6" w:space="8" w:color="86C157" w:themeColor="accent3"/>
        <w:bottom w:val="single" w:sz="6" w:space="8" w:color="86C157" w:themeColor="accent3"/>
      </w:pBdr>
      <w:spacing w:after="400" w:line="240" w:lineRule="auto"/>
      <w:contextualSpacing/>
      <w:jc w:val="center"/>
    </w:pPr>
    <w:rPr>
      <w:rFonts w:asciiTheme="majorHAnsi" w:eastAsiaTheme="majorEastAsia" w:hAnsiTheme="majorHAnsi" w:cstheme="majorBidi"/>
      <w:caps/>
      <w:color w:val="355071" w:themeColor="text2"/>
      <w:spacing w:val="30"/>
      <w:sz w:val="72"/>
      <w:szCs w:val="72"/>
    </w:rPr>
  </w:style>
  <w:style w:type="character" w:customStyle="1" w:styleId="TitleChar">
    <w:name w:val="Title Char"/>
    <w:basedOn w:val="DefaultParagraphFont"/>
    <w:link w:val="Title"/>
    <w:uiPriority w:val="10"/>
    <w:rsid w:val="00336026"/>
    <w:rPr>
      <w:rFonts w:asciiTheme="majorHAnsi" w:eastAsiaTheme="majorEastAsia" w:hAnsiTheme="majorHAnsi" w:cstheme="majorBidi"/>
      <w:caps/>
      <w:color w:val="355071" w:themeColor="text2"/>
      <w:spacing w:val="30"/>
      <w:sz w:val="72"/>
      <w:szCs w:val="72"/>
    </w:rPr>
  </w:style>
  <w:style w:type="paragraph" w:styleId="Subtitle">
    <w:name w:val="Subtitle"/>
    <w:basedOn w:val="Normal"/>
    <w:next w:val="Normal"/>
    <w:link w:val="SubtitleChar"/>
    <w:uiPriority w:val="11"/>
    <w:qFormat/>
    <w:rsid w:val="00336026"/>
    <w:pPr>
      <w:numPr>
        <w:ilvl w:val="1"/>
      </w:numPr>
      <w:jc w:val="center"/>
    </w:pPr>
    <w:rPr>
      <w:color w:val="355071" w:themeColor="text2"/>
      <w:sz w:val="28"/>
      <w:szCs w:val="28"/>
    </w:rPr>
  </w:style>
  <w:style w:type="character" w:customStyle="1" w:styleId="SubtitleChar">
    <w:name w:val="Subtitle Char"/>
    <w:basedOn w:val="DefaultParagraphFont"/>
    <w:link w:val="Subtitle"/>
    <w:uiPriority w:val="11"/>
    <w:rsid w:val="00336026"/>
    <w:rPr>
      <w:color w:val="355071" w:themeColor="text2"/>
      <w:sz w:val="28"/>
      <w:szCs w:val="28"/>
    </w:rPr>
  </w:style>
  <w:style w:type="character" w:customStyle="1" w:styleId="Heading1Char">
    <w:name w:val="Heading 1 Char"/>
    <w:basedOn w:val="DefaultParagraphFont"/>
    <w:link w:val="Heading1"/>
    <w:uiPriority w:val="9"/>
    <w:rsid w:val="00336026"/>
    <w:rPr>
      <w:rFonts w:asciiTheme="majorHAnsi" w:eastAsiaTheme="majorEastAsia" w:hAnsiTheme="majorHAnsi" w:cstheme="majorBidi"/>
      <w:color w:val="107DC5" w:themeColor="accent1" w:themeShade="BF"/>
      <w:sz w:val="40"/>
      <w:szCs w:val="40"/>
    </w:rPr>
  </w:style>
  <w:style w:type="paragraph" w:styleId="TOCHeading">
    <w:name w:val="TOC Heading"/>
    <w:basedOn w:val="Heading1"/>
    <w:next w:val="Normal"/>
    <w:uiPriority w:val="39"/>
    <w:unhideWhenUsed/>
    <w:qFormat/>
    <w:rsid w:val="00336026"/>
    <w:pPr>
      <w:outlineLvl w:val="9"/>
    </w:pPr>
  </w:style>
  <w:style w:type="paragraph" w:styleId="TOC1">
    <w:name w:val="toc 1"/>
    <w:basedOn w:val="Normal"/>
    <w:next w:val="Normal"/>
    <w:autoRedefine/>
    <w:uiPriority w:val="39"/>
    <w:unhideWhenUsed/>
    <w:rsid w:val="00336026"/>
    <w:pPr>
      <w:spacing w:after="100"/>
    </w:pPr>
  </w:style>
  <w:style w:type="character" w:styleId="Hyperlink">
    <w:name w:val="Hyperlink"/>
    <w:basedOn w:val="DefaultParagraphFont"/>
    <w:uiPriority w:val="99"/>
    <w:unhideWhenUsed/>
    <w:rsid w:val="00336026"/>
    <w:rPr>
      <w:color w:val="56BCFE" w:themeColor="hyperlink"/>
      <w:u w:val="single"/>
    </w:rPr>
  </w:style>
  <w:style w:type="character" w:customStyle="1" w:styleId="Heading2Char">
    <w:name w:val="Heading 2 Char"/>
    <w:basedOn w:val="DefaultParagraphFont"/>
    <w:link w:val="Heading2"/>
    <w:uiPriority w:val="9"/>
    <w:rsid w:val="0033602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3602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3602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3602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3602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3602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3602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026"/>
    <w:rPr>
      <w:b/>
      <w:bCs/>
      <w:i/>
      <w:iCs/>
    </w:rPr>
  </w:style>
  <w:style w:type="paragraph" w:styleId="Caption">
    <w:name w:val="caption"/>
    <w:basedOn w:val="Normal"/>
    <w:next w:val="Normal"/>
    <w:uiPriority w:val="35"/>
    <w:semiHidden/>
    <w:unhideWhenUsed/>
    <w:qFormat/>
    <w:rsid w:val="00336026"/>
    <w:pPr>
      <w:spacing w:line="240" w:lineRule="auto"/>
    </w:pPr>
    <w:rPr>
      <w:b/>
      <w:bCs/>
      <w:color w:val="404040" w:themeColor="text1" w:themeTint="BF"/>
      <w:sz w:val="16"/>
      <w:szCs w:val="16"/>
    </w:rPr>
  </w:style>
  <w:style w:type="character" w:styleId="Strong">
    <w:name w:val="Strong"/>
    <w:basedOn w:val="DefaultParagraphFont"/>
    <w:uiPriority w:val="22"/>
    <w:qFormat/>
    <w:rsid w:val="00336026"/>
    <w:rPr>
      <w:b/>
      <w:bCs/>
    </w:rPr>
  </w:style>
  <w:style w:type="character" w:styleId="Emphasis">
    <w:name w:val="Emphasis"/>
    <w:basedOn w:val="DefaultParagraphFont"/>
    <w:uiPriority w:val="20"/>
    <w:qFormat/>
    <w:rsid w:val="00336026"/>
    <w:rPr>
      <w:i/>
      <w:iCs/>
      <w:color w:val="000000" w:themeColor="text1"/>
    </w:rPr>
  </w:style>
  <w:style w:type="paragraph" w:styleId="NoSpacing">
    <w:name w:val="No Spacing"/>
    <w:uiPriority w:val="1"/>
    <w:qFormat/>
    <w:rsid w:val="00336026"/>
    <w:pPr>
      <w:spacing w:after="0" w:line="240" w:lineRule="auto"/>
    </w:pPr>
  </w:style>
  <w:style w:type="paragraph" w:styleId="Quote">
    <w:name w:val="Quote"/>
    <w:basedOn w:val="Normal"/>
    <w:next w:val="Normal"/>
    <w:link w:val="QuoteChar"/>
    <w:uiPriority w:val="29"/>
    <w:qFormat/>
    <w:rsid w:val="00336026"/>
    <w:pPr>
      <w:spacing w:before="160"/>
      <w:ind w:left="720" w:right="720"/>
      <w:jc w:val="center"/>
    </w:pPr>
    <w:rPr>
      <w:i/>
      <w:iCs/>
      <w:color w:val="639938" w:themeColor="accent3" w:themeShade="BF"/>
      <w:sz w:val="24"/>
      <w:szCs w:val="24"/>
    </w:rPr>
  </w:style>
  <w:style w:type="character" w:customStyle="1" w:styleId="QuoteChar">
    <w:name w:val="Quote Char"/>
    <w:basedOn w:val="DefaultParagraphFont"/>
    <w:link w:val="Quote"/>
    <w:uiPriority w:val="29"/>
    <w:rsid w:val="00336026"/>
    <w:rPr>
      <w:i/>
      <w:iCs/>
      <w:color w:val="639938" w:themeColor="accent3" w:themeShade="BF"/>
      <w:sz w:val="24"/>
      <w:szCs w:val="24"/>
    </w:rPr>
  </w:style>
  <w:style w:type="paragraph" w:styleId="IntenseQuote">
    <w:name w:val="Intense Quote"/>
    <w:basedOn w:val="Normal"/>
    <w:next w:val="Normal"/>
    <w:link w:val="IntenseQuoteChar"/>
    <w:uiPriority w:val="30"/>
    <w:qFormat/>
    <w:rsid w:val="00336026"/>
    <w:pPr>
      <w:spacing w:before="160" w:line="276" w:lineRule="auto"/>
      <w:ind w:left="936" w:right="936"/>
      <w:jc w:val="center"/>
    </w:pPr>
    <w:rPr>
      <w:rFonts w:asciiTheme="majorHAnsi" w:eastAsiaTheme="majorEastAsia" w:hAnsiTheme="majorHAnsi" w:cstheme="majorBidi"/>
      <w:caps/>
      <w:color w:val="107DC5" w:themeColor="accent1" w:themeShade="BF"/>
      <w:sz w:val="28"/>
      <w:szCs w:val="28"/>
    </w:rPr>
  </w:style>
  <w:style w:type="character" w:customStyle="1" w:styleId="IntenseQuoteChar">
    <w:name w:val="Intense Quote Char"/>
    <w:basedOn w:val="DefaultParagraphFont"/>
    <w:link w:val="IntenseQuote"/>
    <w:uiPriority w:val="30"/>
    <w:rsid w:val="00336026"/>
    <w:rPr>
      <w:rFonts w:asciiTheme="majorHAnsi" w:eastAsiaTheme="majorEastAsia" w:hAnsiTheme="majorHAnsi" w:cstheme="majorBidi"/>
      <w:caps/>
      <w:color w:val="107DC5" w:themeColor="accent1" w:themeShade="BF"/>
      <w:sz w:val="28"/>
      <w:szCs w:val="28"/>
    </w:rPr>
  </w:style>
  <w:style w:type="character" w:styleId="SubtleEmphasis">
    <w:name w:val="Subtle Emphasis"/>
    <w:basedOn w:val="DefaultParagraphFont"/>
    <w:uiPriority w:val="19"/>
    <w:qFormat/>
    <w:rsid w:val="00336026"/>
    <w:rPr>
      <w:i/>
      <w:iCs/>
      <w:color w:val="595959" w:themeColor="text1" w:themeTint="A6"/>
    </w:rPr>
  </w:style>
  <w:style w:type="character" w:styleId="IntenseEmphasis">
    <w:name w:val="Intense Emphasis"/>
    <w:basedOn w:val="DefaultParagraphFont"/>
    <w:uiPriority w:val="21"/>
    <w:qFormat/>
    <w:rsid w:val="00336026"/>
    <w:rPr>
      <w:b/>
      <w:bCs/>
      <w:i/>
      <w:iCs/>
      <w:color w:val="auto"/>
    </w:rPr>
  </w:style>
  <w:style w:type="character" w:styleId="SubtleReference">
    <w:name w:val="Subtle Reference"/>
    <w:basedOn w:val="DefaultParagraphFont"/>
    <w:uiPriority w:val="31"/>
    <w:qFormat/>
    <w:rsid w:val="0033602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36026"/>
    <w:rPr>
      <w:b/>
      <w:bCs/>
      <w:caps w:val="0"/>
      <w:smallCaps/>
      <w:color w:val="auto"/>
      <w:spacing w:val="0"/>
      <w:u w:val="single"/>
    </w:rPr>
  </w:style>
  <w:style w:type="character" w:styleId="BookTitle">
    <w:name w:val="Book Title"/>
    <w:basedOn w:val="DefaultParagraphFont"/>
    <w:uiPriority w:val="33"/>
    <w:qFormat/>
    <w:rsid w:val="00336026"/>
    <w:rPr>
      <w:b/>
      <w:bCs/>
      <w:caps w:val="0"/>
      <w:smallCaps/>
      <w:spacing w:val="0"/>
    </w:rPr>
  </w:style>
  <w:style w:type="paragraph" w:styleId="TOC2">
    <w:name w:val="toc 2"/>
    <w:basedOn w:val="Normal"/>
    <w:next w:val="Normal"/>
    <w:autoRedefine/>
    <w:uiPriority w:val="39"/>
    <w:unhideWhenUsed/>
    <w:rsid w:val="00087AD8"/>
    <w:pPr>
      <w:spacing w:after="100"/>
      <w:ind w:left="210"/>
    </w:pPr>
  </w:style>
  <w:style w:type="paragraph" w:styleId="ListParagraph">
    <w:name w:val="List Paragraph"/>
    <w:basedOn w:val="Normal"/>
    <w:uiPriority w:val="34"/>
    <w:qFormat/>
    <w:rsid w:val="0007383F"/>
    <w:pPr>
      <w:ind w:left="720"/>
      <w:contextualSpacing/>
    </w:pPr>
  </w:style>
  <w:style w:type="paragraph" w:customStyle="1" w:styleId="paragraph">
    <w:name w:val="paragraph"/>
    <w:basedOn w:val="Normal"/>
    <w:rsid w:val="00A16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69B2"/>
  </w:style>
  <w:style w:type="character" w:customStyle="1" w:styleId="eop">
    <w:name w:val="eop"/>
    <w:basedOn w:val="DefaultParagraphFont"/>
    <w:rsid w:val="00A169B2"/>
  </w:style>
  <w:style w:type="character" w:customStyle="1" w:styleId="tabchar">
    <w:name w:val="tabchar"/>
    <w:basedOn w:val="DefaultParagraphFont"/>
    <w:rsid w:val="00A169B2"/>
  </w:style>
  <w:style w:type="paragraph" w:styleId="TOC3">
    <w:name w:val="toc 3"/>
    <w:basedOn w:val="Normal"/>
    <w:next w:val="Normal"/>
    <w:autoRedefine/>
    <w:uiPriority w:val="39"/>
    <w:unhideWhenUsed/>
    <w:rsid w:val="00F96370"/>
    <w:pPr>
      <w:spacing w:after="100"/>
      <w:ind w:left="420"/>
    </w:pPr>
  </w:style>
  <w:style w:type="paragraph" w:styleId="Header">
    <w:name w:val="header"/>
    <w:basedOn w:val="Normal"/>
    <w:link w:val="HeaderChar"/>
    <w:uiPriority w:val="99"/>
    <w:semiHidden/>
    <w:unhideWhenUsed/>
    <w:rsid w:val="00D110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068"/>
  </w:style>
  <w:style w:type="paragraph" w:styleId="Footer">
    <w:name w:val="footer"/>
    <w:basedOn w:val="Normal"/>
    <w:link w:val="FooterChar"/>
    <w:uiPriority w:val="99"/>
    <w:semiHidden/>
    <w:unhideWhenUsed/>
    <w:rsid w:val="00D110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1068"/>
  </w:style>
  <w:style w:type="character" w:styleId="UnresolvedMention">
    <w:name w:val="Unresolved Mention"/>
    <w:basedOn w:val="DefaultParagraphFont"/>
    <w:uiPriority w:val="99"/>
    <w:semiHidden/>
    <w:unhideWhenUsed/>
    <w:rsid w:val="00AD5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77831">
      <w:bodyDiv w:val="1"/>
      <w:marLeft w:val="0"/>
      <w:marRight w:val="0"/>
      <w:marTop w:val="0"/>
      <w:marBottom w:val="0"/>
      <w:divBdr>
        <w:top w:val="none" w:sz="0" w:space="0" w:color="auto"/>
        <w:left w:val="none" w:sz="0" w:space="0" w:color="auto"/>
        <w:bottom w:val="none" w:sz="0" w:space="0" w:color="auto"/>
        <w:right w:val="none" w:sz="0" w:space="0" w:color="auto"/>
      </w:divBdr>
    </w:div>
    <w:div w:id="2064130966">
      <w:bodyDiv w:val="1"/>
      <w:marLeft w:val="0"/>
      <w:marRight w:val="0"/>
      <w:marTop w:val="0"/>
      <w:marBottom w:val="0"/>
      <w:divBdr>
        <w:top w:val="none" w:sz="0" w:space="0" w:color="auto"/>
        <w:left w:val="none" w:sz="0" w:space="0" w:color="auto"/>
        <w:bottom w:val="none" w:sz="0" w:space="0" w:color="auto"/>
        <w:right w:val="none" w:sz="0" w:space="0" w:color="auto"/>
      </w:divBdr>
      <w:divsChild>
        <w:div w:id="1437867393">
          <w:marLeft w:val="0"/>
          <w:marRight w:val="0"/>
          <w:marTop w:val="0"/>
          <w:marBottom w:val="0"/>
          <w:divBdr>
            <w:top w:val="none" w:sz="0" w:space="0" w:color="auto"/>
            <w:left w:val="none" w:sz="0" w:space="0" w:color="auto"/>
            <w:bottom w:val="none" w:sz="0" w:space="0" w:color="auto"/>
            <w:right w:val="none" w:sz="0" w:space="0" w:color="auto"/>
          </w:divBdr>
        </w:div>
        <w:div w:id="1709332145">
          <w:marLeft w:val="0"/>
          <w:marRight w:val="0"/>
          <w:marTop w:val="0"/>
          <w:marBottom w:val="0"/>
          <w:divBdr>
            <w:top w:val="none" w:sz="0" w:space="0" w:color="auto"/>
            <w:left w:val="none" w:sz="0" w:space="0" w:color="auto"/>
            <w:bottom w:val="none" w:sz="0" w:space="0" w:color="auto"/>
            <w:right w:val="none" w:sz="0" w:space="0" w:color="auto"/>
          </w:divBdr>
        </w:div>
        <w:div w:id="1460150308">
          <w:marLeft w:val="0"/>
          <w:marRight w:val="0"/>
          <w:marTop w:val="0"/>
          <w:marBottom w:val="0"/>
          <w:divBdr>
            <w:top w:val="none" w:sz="0" w:space="0" w:color="auto"/>
            <w:left w:val="none" w:sz="0" w:space="0" w:color="auto"/>
            <w:bottom w:val="none" w:sz="0" w:space="0" w:color="auto"/>
            <w:right w:val="none" w:sz="0" w:space="0" w:color="auto"/>
          </w:divBdr>
        </w:div>
        <w:div w:id="136920384">
          <w:marLeft w:val="0"/>
          <w:marRight w:val="0"/>
          <w:marTop w:val="0"/>
          <w:marBottom w:val="0"/>
          <w:divBdr>
            <w:top w:val="none" w:sz="0" w:space="0" w:color="auto"/>
            <w:left w:val="none" w:sz="0" w:space="0" w:color="auto"/>
            <w:bottom w:val="none" w:sz="0" w:space="0" w:color="auto"/>
            <w:right w:val="none" w:sz="0" w:space="0" w:color="auto"/>
          </w:divBdr>
        </w:div>
        <w:div w:id="1523125005">
          <w:marLeft w:val="0"/>
          <w:marRight w:val="0"/>
          <w:marTop w:val="0"/>
          <w:marBottom w:val="0"/>
          <w:divBdr>
            <w:top w:val="none" w:sz="0" w:space="0" w:color="auto"/>
            <w:left w:val="none" w:sz="0" w:space="0" w:color="auto"/>
            <w:bottom w:val="none" w:sz="0" w:space="0" w:color="auto"/>
            <w:right w:val="none" w:sz="0" w:space="0" w:color="auto"/>
          </w:divBdr>
        </w:div>
        <w:div w:id="1991978595">
          <w:marLeft w:val="0"/>
          <w:marRight w:val="0"/>
          <w:marTop w:val="0"/>
          <w:marBottom w:val="0"/>
          <w:divBdr>
            <w:top w:val="none" w:sz="0" w:space="0" w:color="auto"/>
            <w:left w:val="none" w:sz="0" w:space="0" w:color="auto"/>
            <w:bottom w:val="none" w:sz="0" w:space="0" w:color="auto"/>
            <w:right w:val="none" w:sz="0" w:space="0" w:color="auto"/>
          </w:divBdr>
        </w:div>
        <w:div w:id="266355688">
          <w:marLeft w:val="0"/>
          <w:marRight w:val="0"/>
          <w:marTop w:val="0"/>
          <w:marBottom w:val="0"/>
          <w:divBdr>
            <w:top w:val="none" w:sz="0" w:space="0" w:color="auto"/>
            <w:left w:val="none" w:sz="0" w:space="0" w:color="auto"/>
            <w:bottom w:val="none" w:sz="0" w:space="0" w:color="auto"/>
            <w:right w:val="none" w:sz="0" w:space="0" w:color="auto"/>
          </w:divBdr>
        </w:div>
        <w:div w:id="1244757026">
          <w:marLeft w:val="0"/>
          <w:marRight w:val="0"/>
          <w:marTop w:val="0"/>
          <w:marBottom w:val="0"/>
          <w:divBdr>
            <w:top w:val="none" w:sz="0" w:space="0" w:color="auto"/>
            <w:left w:val="none" w:sz="0" w:space="0" w:color="auto"/>
            <w:bottom w:val="none" w:sz="0" w:space="0" w:color="auto"/>
            <w:right w:val="none" w:sz="0" w:space="0" w:color="auto"/>
          </w:divBdr>
        </w:div>
        <w:div w:id="1311641068">
          <w:marLeft w:val="0"/>
          <w:marRight w:val="0"/>
          <w:marTop w:val="0"/>
          <w:marBottom w:val="0"/>
          <w:divBdr>
            <w:top w:val="none" w:sz="0" w:space="0" w:color="auto"/>
            <w:left w:val="none" w:sz="0" w:space="0" w:color="auto"/>
            <w:bottom w:val="none" w:sz="0" w:space="0" w:color="auto"/>
            <w:right w:val="none" w:sz="0" w:space="0" w:color="auto"/>
          </w:divBdr>
        </w:div>
        <w:div w:id="768429909">
          <w:marLeft w:val="0"/>
          <w:marRight w:val="0"/>
          <w:marTop w:val="0"/>
          <w:marBottom w:val="0"/>
          <w:divBdr>
            <w:top w:val="none" w:sz="0" w:space="0" w:color="auto"/>
            <w:left w:val="none" w:sz="0" w:space="0" w:color="auto"/>
            <w:bottom w:val="none" w:sz="0" w:space="0" w:color="auto"/>
            <w:right w:val="none" w:sz="0" w:space="0" w:color="auto"/>
          </w:divBdr>
        </w:div>
        <w:div w:id="142820940">
          <w:marLeft w:val="0"/>
          <w:marRight w:val="0"/>
          <w:marTop w:val="0"/>
          <w:marBottom w:val="0"/>
          <w:divBdr>
            <w:top w:val="none" w:sz="0" w:space="0" w:color="auto"/>
            <w:left w:val="none" w:sz="0" w:space="0" w:color="auto"/>
            <w:bottom w:val="none" w:sz="0" w:space="0" w:color="auto"/>
            <w:right w:val="none" w:sz="0" w:space="0" w:color="auto"/>
          </w:divBdr>
        </w:div>
        <w:div w:id="1575047080">
          <w:marLeft w:val="0"/>
          <w:marRight w:val="0"/>
          <w:marTop w:val="0"/>
          <w:marBottom w:val="0"/>
          <w:divBdr>
            <w:top w:val="none" w:sz="0" w:space="0" w:color="auto"/>
            <w:left w:val="none" w:sz="0" w:space="0" w:color="auto"/>
            <w:bottom w:val="none" w:sz="0" w:space="0" w:color="auto"/>
            <w:right w:val="none" w:sz="0" w:space="0" w:color="auto"/>
          </w:divBdr>
        </w:div>
        <w:div w:id="123812495">
          <w:marLeft w:val="0"/>
          <w:marRight w:val="0"/>
          <w:marTop w:val="0"/>
          <w:marBottom w:val="0"/>
          <w:divBdr>
            <w:top w:val="none" w:sz="0" w:space="0" w:color="auto"/>
            <w:left w:val="none" w:sz="0" w:space="0" w:color="auto"/>
            <w:bottom w:val="none" w:sz="0" w:space="0" w:color="auto"/>
            <w:right w:val="none" w:sz="0" w:space="0" w:color="auto"/>
          </w:divBdr>
        </w:div>
        <w:div w:id="644503832">
          <w:marLeft w:val="0"/>
          <w:marRight w:val="0"/>
          <w:marTop w:val="0"/>
          <w:marBottom w:val="0"/>
          <w:divBdr>
            <w:top w:val="none" w:sz="0" w:space="0" w:color="auto"/>
            <w:left w:val="none" w:sz="0" w:space="0" w:color="auto"/>
            <w:bottom w:val="none" w:sz="0" w:space="0" w:color="auto"/>
            <w:right w:val="none" w:sz="0" w:space="0" w:color="auto"/>
          </w:divBdr>
        </w:div>
        <w:div w:id="160391505">
          <w:marLeft w:val="0"/>
          <w:marRight w:val="0"/>
          <w:marTop w:val="0"/>
          <w:marBottom w:val="0"/>
          <w:divBdr>
            <w:top w:val="none" w:sz="0" w:space="0" w:color="auto"/>
            <w:left w:val="none" w:sz="0" w:space="0" w:color="auto"/>
            <w:bottom w:val="none" w:sz="0" w:space="0" w:color="auto"/>
            <w:right w:val="none" w:sz="0" w:space="0" w:color="auto"/>
          </w:divBdr>
        </w:div>
        <w:div w:id="64227317">
          <w:marLeft w:val="0"/>
          <w:marRight w:val="0"/>
          <w:marTop w:val="0"/>
          <w:marBottom w:val="0"/>
          <w:divBdr>
            <w:top w:val="none" w:sz="0" w:space="0" w:color="auto"/>
            <w:left w:val="none" w:sz="0" w:space="0" w:color="auto"/>
            <w:bottom w:val="none" w:sz="0" w:space="0" w:color="auto"/>
            <w:right w:val="none" w:sz="0" w:space="0" w:color="auto"/>
          </w:divBdr>
        </w:div>
        <w:div w:id="1271549164">
          <w:marLeft w:val="0"/>
          <w:marRight w:val="0"/>
          <w:marTop w:val="0"/>
          <w:marBottom w:val="0"/>
          <w:divBdr>
            <w:top w:val="none" w:sz="0" w:space="0" w:color="auto"/>
            <w:left w:val="none" w:sz="0" w:space="0" w:color="auto"/>
            <w:bottom w:val="none" w:sz="0" w:space="0" w:color="auto"/>
            <w:right w:val="none" w:sz="0" w:space="0" w:color="auto"/>
          </w:divBdr>
        </w:div>
        <w:div w:id="407002380">
          <w:marLeft w:val="0"/>
          <w:marRight w:val="0"/>
          <w:marTop w:val="0"/>
          <w:marBottom w:val="0"/>
          <w:divBdr>
            <w:top w:val="none" w:sz="0" w:space="0" w:color="auto"/>
            <w:left w:val="none" w:sz="0" w:space="0" w:color="auto"/>
            <w:bottom w:val="none" w:sz="0" w:space="0" w:color="auto"/>
            <w:right w:val="none" w:sz="0" w:space="0" w:color="auto"/>
          </w:divBdr>
        </w:div>
        <w:div w:id="726882651">
          <w:marLeft w:val="0"/>
          <w:marRight w:val="0"/>
          <w:marTop w:val="0"/>
          <w:marBottom w:val="0"/>
          <w:divBdr>
            <w:top w:val="none" w:sz="0" w:space="0" w:color="auto"/>
            <w:left w:val="none" w:sz="0" w:space="0" w:color="auto"/>
            <w:bottom w:val="none" w:sz="0" w:space="0" w:color="auto"/>
            <w:right w:val="none" w:sz="0" w:space="0" w:color="auto"/>
          </w:divBdr>
        </w:div>
        <w:div w:id="232009857">
          <w:marLeft w:val="0"/>
          <w:marRight w:val="0"/>
          <w:marTop w:val="0"/>
          <w:marBottom w:val="0"/>
          <w:divBdr>
            <w:top w:val="none" w:sz="0" w:space="0" w:color="auto"/>
            <w:left w:val="none" w:sz="0" w:space="0" w:color="auto"/>
            <w:bottom w:val="none" w:sz="0" w:space="0" w:color="auto"/>
            <w:right w:val="none" w:sz="0" w:space="0" w:color="auto"/>
          </w:divBdr>
        </w:div>
        <w:div w:id="1595632178">
          <w:marLeft w:val="0"/>
          <w:marRight w:val="0"/>
          <w:marTop w:val="0"/>
          <w:marBottom w:val="0"/>
          <w:divBdr>
            <w:top w:val="none" w:sz="0" w:space="0" w:color="auto"/>
            <w:left w:val="none" w:sz="0" w:space="0" w:color="auto"/>
            <w:bottom w:val="none" w:sz="0" w:space="0" w:color="auto"/>
            <w:right w:val="none" w:sz="0" w:space="0" w:color="auto"/>
          </w:divBdr>
        </w:div>
        <w:div w:id="858354374">
          <w:marLeft w:val="0"/>
          <w:marRight w:val="0"/>
          <w:marTop w:val="0"/>
          <w:marBottom w:val="0"/>
          <w:divBdr>
            <w:top w:val="none" w:sz="0" w:space="0" w:color="auto"/>
            <w:left w:val="none" w:sz="0" w:space="0" w:color="auto"/>
            <w:bottom w:val="none" w:sz="0" w:space="0" w:color="auto"/>
            <w:right w:val="none" w:sz="0" w:space="0" w:color="auto"/>
          </w:divBdr>
        </w:div>
        <w:div w:id="1249464529">
          <w:marLeft w:val="0"/>
          <w:marRight w:val="0"/>
          <w:marTop w:val="0"/>
          <w:marBottom w:val="0"/>
          <w:divBdr>
            <w:top w:val="none" w:sz="0" w:space="0" w:color="auto"/>
            <w:left w:val="none" w:sz="0" w:space="0" w:color="auto"/>
            <w:bottom w:val="none" w:sz="0" w:space="0" w:color="auto"/>
            <w:right w:val="none" w:sz="0" w:space="0" w:color="auto"/>
          </w:divBdr>
        </w:div>
        <w:div w:id="1872836276">
          <w:marLeft w:val="0"/>
          <w:marRight w:val="0"/>
          <w:marTop w:val="0"/>
          <w:marBottom w:val="0"/>
          <w:divBdr>
            <w:top w:val="none" w:sz="0" w:space="0" w:color="auto"/>
            <w:left w:val="none" w:sz="0" w:space="0" w:color="auto"/>
            <w:bottom w:val="none" w:sz="0" w:space="0" w:color="auto"/>
            <w:right w:val="none" w:sz="0" w:space="0" w:color="auto"/>
          </w:divBdr>
        </w:div>
        <w:div w:id="947129148">
          <w:marLeft w:val="0"/>
          <w:marRight w:val="0"/>
          <w:marTop w:val="0"/>
          <w:marBottom w:val="0"/>
          <w:divBdr>
            <w:top w:val="none" w:sz="0" w:space="0" w:color="auto"/>
            <w:left w:val="none" w:sz="0" w:space="0" w:color="auto"/>
            <w:bottom w:val="none" w:sz="0" w:space="0" w:color="auto"/>
            <w:right w:val="none" w:sz="0" w:space="0" w:color="auto"/>
          </w:divBdr>
        </w:div>
        <w:div w:id="1984196825">
          <w:marLeft w:val="0"/>
          <w:marRight w:val="0"/>
          <w:marTop w:val="0"/>
          <w:marBottom w:val="0"/>
          <w:divBdr>
            <w:top w:val="none" w:sz="0" w:space="0" w:color="auto"/>
            <w:left w:val="none" w:sz="0" w:space="0" w:color="auto"/>
            <w:bottom w:val="none" w:sz="0" w:space="0" w:color="auto"/>
            <w:right w:val="none" w:sz="0" w:space="0" w:color="auto"/>
          </w:divBdr>
        </w:div>
        <w:div w:id="1852379221">
          <w:marLeft w:val="0"/>
          <w:marRight w:val="0"/>
          <w:marTop w:val="0"/>
          <w:marBottom w:val="0"/>
          <w:divBdr>
            <w:top w:val="none" w:sz="0" w:space="0" w:color="auto"/>
            <w:left w:val="none" w:sz="0" w:space="0" w:color="auto"/>
            <w:bottom w:val="none" w:sz="0" w:space="0" w:color="auto"/>
            <w:right w:val="none" w:sz="0" w:space="0" w:color="auto"/>
          </w:divBdr>
        </w:div>
        <w:div w:id="309022828">
          <w:marLeft w:val="0"/>
          <w:marRight w:val="0"/>
          <w:marTop w:val="0"/>
          <w:marBottom w:val="0"/>
          <w:divBdr>
            <w:top w:val="none" w:sz="0" w:space="0" w:color="auto"/>
            <w:left w:val="none" w:sz="0" w:space="0" w:color="auto"/>
            <w:bottom w:val="none" w:sz="0" w:space="0" w:color="auto"/>
            <w:right w:val="none" w:sz="0" w:space="0" w:color="auto"/>
          </w:divBdr>
        </w:div>
        <w:div w:id="1911621160">
          <w:marLeft w:val="0"/>
          <w:marRight w:val="0"/>
          <w:marTop w:val="0"/>
          <w:marBottom w:val="0"/>
          <w:divBdr>
            <w:top w:val="none" w:sz="0" w:space="0" w:color="auto"/>
            <w:left w:val="none" w:sz="0" w:space="0" w:color="auto"/>
            <w:bottom w:val="none" w:sz="0" w:space="0" w:color="auto"/>
            <w:right w:val="none" w:sz="0" w:space="0" w:color="auto"/>
          </w:divBdr>
        </w:div>
        <w:div w:id="770319728">
          <w:marLeft w:val="0"/>
          <w:marRight w:val="0"/>
          <w:marTop w:val="0"/>
          <w:marBottom w:val="0"/>
          <w:divBdr>
            <w:top w:val="none" w:sz="0" w:space="0" w:color="auto"/>
            <w:left w:val="none" w:sz="0" w:space="0" w:color="auto"/>
            <w:bottom w:val="none" w:sz="0" w:space="0" w:color="auto"/>
            <w:right w:val="none" w:sz="0" w:space="0" w:color="auto"/>
          </w:divBdr>
        </w:div>
        <w:div w:id="1210145932">
          <w:marLeft w:val="0"/>
          <w:marRight w:val="0"/>
          <w:marTop w:val="0"/>
          <w:marBottom w:val="0"/>
          <w:divBdr>
            <w:top w:val="none" w:sz="0" w:space="0" w:color="auto"/>
            <w:left w:val="none" w:sz="0" w:space="0" w:color="auto"/>
            <w:bottom w:val="none" w:sz="0" w:space="0" w:color="auto"/>
            <w:right w:val="none" w:sz="0" w:space="0" w:color="auto"/>
          </w:divBdr>
        </w:div>
        <w:div w:id="95290154">
          <w:marLeft w:val="0"/>
          <w:marRight w:val="0"/>
          <w:marTop w:val="0"/>
          <w:marBottom w:val="0"/>
          <w:divBdr>
            <w:top w:val="none" w:sz="0" w:space="0" w:color="auto"/>
            <w:left w:val="none" w:sz="0" w:space="0" w:color="auto"/>
            <w:bottom w:val="none" w:sz="0" w:space="0" w:color="auto"/>
            <w:right w:val="none" w:sz="0" w:space="0" w:color="auto"/>
          </w:divBdr>
        </w:div>
        <w:div w:id="1685134077">
          <w:marLeft w:val="0"/>
          <w:marRight w:val="0"/>
          <w:marTop w:val="0"/>
          <w:marBottom w:val="0"/>
          <w:divBdr>
            <w:top w:val="none" w:sz="0" w:space="0" w:color="auto"/>
            <w:left w:val="none" w:sz="0" w:space="0" w:color="auto"/>
            <w:bottom w:val="none" w:sz="0" w:space="0" w:color="auto"/>
            <w:right w:val="none" w:sz="0" w:space="0" w:color="auto"/>
          </w:divBdr>
        </w:div>
        <w:div w:id="1873305802">
          <w:marLeft w:val="0"/>
          <w:marRight w:val="0"/>
          <w:marTop w:val="0"/>
          <w:marBottom w:val="0"/>
          <w:divBdr>
            <w:top w:val="none" w:sz="0" w:space="0" w:color="auto"/>
            <w:left w:val="none" w:sz="0" w:space="0" w:color="auto"/>
            <w:bottom w:val="none" w:sz="0" w:space="0" w:color="auto"/>
            <w:right w:val="none" w:sz="0" w:space="0" w:color="auto"/>
          </w:divBdr>
        </w:div>
        <w:div w:id="1539774715">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11332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4a-colorado.org/casoa-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emography.dola.colorado.gov/assets/html/coareaaging.html"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d167c49bad37fb2/Documents/AAA%20ECCOG/Area%20Agency%20on%20Aging/4Year%20Plan/2024-2027%20Plan/Demographer%20Office%20Data/AAAAgeProjection.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9d167c49bad37fb2/Documents/AAA%20ECCOG/Area%20Agency%20on%20Aging/4Year%20Plan/2024-2027%20Plan/Demographer%20Office%20Data/AAAAgeProjection.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9d167c49bad37fb2/Documents/AAA%20ECCOG/Area%20Agency%20on%20Aging/4Year%20Plan/2024-2027%20Plan/Demographer%20Office%20Data/AAAPopulationPyramids.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9d167c49bad37fb2/Documents/AAA%20ECCOG/Area%20Agency%20on%20Aging/4Year%20Plan/2024-2027%20Plan/Demographer%20Office%20Data/Race_Ethnicity%202020%204%20counti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9d167c49bad37fb2/Documents/AAA%20ECCOG/Area%20Agency%20on%20Aging/4Year%20Plan/2024-2027%20Plan/Demographer%20Office%20Data/Poverty%20Breakdow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[AAAAgeProjection.xls]PivotTable!PivotTable1</c:name>
    <c:fmtId val="-1"/>
  </c:pivotSource>
  <c:chart>
    <c:title>
      <c:tx>
        <c:rich>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r>
              <a:rPr lang="en-US"/>
              <a:t>Region 05 Population by Single Year of Age by Generation, (2020-2023)</a:t>
            </a:r>
          </a:p>
        </c:rich>
      </c:tx>
      <c:layout>
        <c:manualLayout>
          <c:xMode val="edge"/>
          <c:yMode val="edge"/>
          <c:x val="0.16562251833905378"/>
          <c:y val="3.9104790151856847E-2"/>
        </c:manualLayout>
      </c:layout>
      <c:overlay val="1"/>
      <c:spPr>
        <a:noFill/>
        <a:ln>
          <a:noFill/>
        </a:ln>
        <a:effectLst/>
      </c:spPr>
      <c:txPr>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PivotTable!$B$4:$B$5</c:f>
              <c:strCache>
                <c:ptCount val="1"/>
                <c:pt idx="0">
                  <c:v>4Generation X</c:v>
                </c:pt>
              </c:strCache>
            </c:strRef>
          </c:tx>
          <c:spPr>
            <a:solidFill>
              <a:schemeClr val="accent1"/>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PivotTable!$B$6:$B$51</c:f>
              <c:numCache>
                <c:formatCode>General</c:formatCode>
                <c:ptCount val="46"/>
                <c:pt idx="0">
                  <c:v>2260.277902212219</c:v>
                </c:pt>
                <c:pt idx="1">
                  <c:v>1735.7860582117651</c:v>
                </c:pt>
                <c:pt idx="2">
                  <c:v>1181.439060183603</c:v>
                </c:pt>
                <c:pt idx="3">
                  <c:v>602.65731574932306</c:v>
                </c:pt>
              </c:numCache>
            </c:numRef>
          </c:val>
          <c:extLst>
            <c:ext xmlns:c16="http://schemas.microsoft.com/office/drawing/2014/chart" uri="{C3380CC4-5D6E-409C-BE32-E72D297353CC}">
              <c16:uniqueId val="{00000000-B245-48C1-9F94-1745BD180AA3}"/>
            </c:ext>
          </c:extLst>
        </c:ser>
        <c:ser>
          <c:idx val="1"/>
          <c:order val="1"/>
          <c:tx>
            <c:strRef>
              <c:f>PivotTable!$C$4:$C$5</c:f>
              <c:strCache>
                <c:ptCount val="1"/>
                <c:pt idx="0">
                  <c:v>3Baby Boomer</c:v>
                </c:pt>
              </c:strCache>
            </c:strRef>
          </c:tx>
          <c:spPr>
            <a:solidFill>
              <a:schemeClr val="accent3"/>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PivotTable!$C$6:$C$51</c:f>
              <c:numCache>
                <c:formatCode>General</c:formatCode>
                <c:ptCount val="46"/>
                <c:pt idx="1">
                  <c:v>660.60136495252209</c:v>
                </c:pt>
                <c:pt idx="2">
                  <c:v>1321.5074633131189</c:v>
                </c:pt>
                <c:pt idx="3">
                  <c:v>1953.4250646624598</c:v>
                </c:pt>
                <c:pt idx="4">
                  <c:v>2618.1528902453674</c:v>
                </c:pt>
                <c:pt idx="5">
                  <c:v>2601.9036433550082</c:v>
                </c:pt>
                <c:pt idx="6">
                  <c:v>2587.390286851683</c:v>
                </c:pt>
                <c:pt idx="7">
                  <c:v>2585.1104011333882</c:v>
                </c:pt>
                <c:pt idx="8">
                  <c:v>2512.9772467487237</c:v>
                </c:pt>
                <c:pt idx="9">
                  <c:v>2433.2425604686628</c:v>
                </c:pt>
                <c:pt idx="10">
                  <c:v>2315.1917398661481</c:v>
                </c:pt>
                <c:pt idx="11">
                  <c:v>2194.2114650772232</c:v>
                </c:pt>
                <c:pt idx="12">
                  <c:v>2097.732402192029</c:v>
                </c:pt>
                <c:pt idx="13">
                  <c:v>2047.328834077101</c:v>
                </c:pt>
                <c:pt idx="14">
                  <c:v>2013.104968723105</c:v>
                </c:pt>
                <c:pt idx="15">
                  <c:v>1916.0181899091178</c:v>
                </c:pt>
                <c:pt idx="16">
                  <c:v>1809.379050868135</c:v>
                </c:pt>
                <c:pt idx="17">
                  <c:v>1687.2744423857309</c:v>
                </c:pt>
                <c:pt idx="18">
                  <c:v>1604.9609589547399</c:v>
                </c:pt>
                <c:pt idx="19">
                  <c:v>1499.8926470592878</c:v>
                </c:pt>
                <c:pt idx="20">
                  <c:v>1087.3503980642979</c:v>
                </c:pt>
                <c:pt idx="21">
                  <c:v>697.51201993701602</c:v>
                </c:pt>
                <c:pt idx="22">
                  <c:v>307.50602108286898</c:v>
                </c:pt>
              </c:numCache>
            </c:numRef>
          </c:val>
          <c:extLst>
            <c:ext xmlns:c16="http://schemas.microsoft.com/office/drawing/2014/chart" uri="{C3380CC4-5D6E-409C-BE32-E72D297353CC}">
              <c16:uniqueId val="{00000001-B245-48C1-9F94-1745BD180AA3}"/>
            </c:ext>
          </c:extLst>
        </c:ser>
        <c:ser>
          <c:idx val="2"/>
          <c:order val="2"/>
          <c:tx>
            <c:strRef>
              <c:f>PivotTable!$D$4:$D$5</c:f>
              <c:strCache>
                <c:ptCount val="1"/>
                <c:pt idx="0">
                  <c:v>2Silent</c:v>
                </c:pt>
              </c:strCache>
            </c:strRef>
          </c:tx>
          <c:spPr>
            <a:solidFill>
              <a:schemeClr val="accent5"/>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PivotTable!$D$6:$D$51</c:f>
              <c:numCache>
                <c:formatCode>General</c:formatCode>
                <c:ptCount val="46"/>
                <c:pt idx="20">
                  <c:v>302.44586759216401</c:v>
                </c:pt>
                <c:pt idx="21">
                  <c:v>568.19753372062894</c:v>
                </c:pt>
                <c:pt idx="22">
                  <c:v>821.111729215163</c:v>
                </c:pt>
                <c:pt idx="23">
                  <c:v>1028.0825384084319</c:v>
                </c:pt>
                <c:pt idx="24">
                  <c:v>953.98046602454701</c:v>
                </c:pt>
                <c:pt idx="25">
                  <c:v>870.02545637385481</c:v>
                </c:pt>
                <c:pt idx="26">
                  <c:v>774.01836090632344</c:v>
                </c:pt>
                <c:pt idx="27">
                  <c:v>691.6099539259003</c:v>
                </c:pt>
                <c:pt idx="28">
                  <c:v>624.62267124281163</c:v>
                </c:pt>
                <c:pt idx="29">
                  <c:v>555.31695234745075</c:v>
                </c:pt>
                <c:pt idx="30">
                  <c:v>486.39021496391018</c:v>
                </c:pt>
                <c:pt idx="31">
                  <c:v>433.2661597449096</c:v>
                </c:pt>
                <c:pt idx="32">
                  <c:v>379.43142244780421</c:v>
                </c:pt>
                <c:pt idx="33">
                  <c:v>331.8083022575388</c:v>
                </c:pt>
                <c:pt idx="34">
                  <c:v>286.81441738896609</c:v>
                </c:pt>
                <c:pt idx="35">
                  <c:v>243.19374536235443</c:v>
                </c:pt>
                <c:pt idx="36">
                  <c:v>202.03633264826061</c:v>
                </c:pt>
                <c:pt idx="37">
                  <c:v>171.6592748188142</c:v>
                </c:pt>
                <c:pt idx="38">
                  <c:v>111.02962149753701</c:v>
                </c:pt>
                <c:pt idx="39">
                  <c:v>62.841742465324401</c:v>
                </c:pt>
                <c:pt idx="40">
                  <c:v>26.233104670471704</c:v>
                </c:pt>
              </c:numCache>
            </c:numRef>
          </c:val>
          <c:extLst>
            <c:ext xmlns:c16="http://schemas.microsoft.com/office/drawing/2014/chart" uri="{C3380CC4-5D6E-409C-BE32-E72D297353CC}">
              <c16:uniqueId val="{00000002-B245-48C1-9F94-1745BD180AA3}"/>
            </c:ext>
          </c:extLst>
        </c:ser>
        <c:ser>
          <c:idx val="3"/>
          <c:order val="3"/>
          <c:tx>
            <c:strRef>
              <c:f>PivotTable!$E$4:$E$5</c:f>
              <c:strCache>
                <c:ptCount val="1"/>
                <c:pt idx="0">
                  <c:v>1Greatest</c:v>
                </c:pt>
              </c:strCache>
            </c:strRef>
          </c:tx>
          <c:spPr>
            <a:solidFill>
              <a:schemeClr val="accent1">
                <a:lumMod val="60000"/>
              </a:schemeClr>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PivotTable!$E$6:$E$51</c:f>
              <c:numCache>
                <c:formatCode>General</c:formatCode>
                <c:ptCount val="46"/>
                <c:pt idx="38">
                  <c:v>41.321363207735104</c:v>
                </c:pt>
                <c:pt idx="39">
                  <c:v>66.843059220054499</c:v>
                </c:pt>
                <c:pt idx="40">
                  <c:v>74.731689840198428</c:v>
                </c:pt>
                <c:pt idx="41">
                  <c:v>80.55580600689315</c:v>
                </c:pt>
                <c:pt idx="42">
                  <c:v>57.419567448435672</c:v>
                </c:pt>
                <c:pt idx="43">
                  <c:v>42.777555256228126</c:v>
                </c:pt>
                <c:pt idx="44">
                  <c:v>36.758254635379302</c:v>
                </c:pt>
                <c:pt idx="45">
                  <c:v>60.384475391843615</c:v>
                </c:pt>
              </c:numCache>
            </c:numRef>
          </c:val>
          <c:extLst>
            <c:ext xmlns:c16="http://schemas.microsoft.com/office/drawing/2014/chart" uri="{C3380CC4-5D6E-409C-BE32-E72D297353CC}">
              <c16:uniqueId val="{00000003-B245-48C1-9F94-1745BD180AA3}"/>
            </c:ext>
          </c:extLst>
        </c:ser>
        <c:dLbls>
          <c:showLegendKey val="0"/>
          <c:showVal val="0"/>
          <c:showCatName val="0"/>
          <c:showSerName val="0"/>
          <c:showPercent val="0"/>
          <c:showBubbleSize val="0"/>
        </c:dLbls>
        <c:gapWidth val="0"/>
        <c:overlap val="86"/>
        <c:axId val="368882399"/>
        <c:axId val="1"/>
      </c:barChart>
      <c:catAx>
        <c:axId val="368882399"/>
        <c:scaling>
          <c:orientation val="minMax"/>
        </c:scaling>
        <c:delete val="0"/>
        <c:axPos val="b"/>
        <c:numFmt formatCode="General" sourceLinked="0"/>
        <c:majorTickMark val="out"/>
        <c:minorTickMark val="none"/>
        <c:tickLblPos val="nextTo"/>
        <c:spPr>
          <a:noFill/>
          <a:ln w="9525" cap="flat" cmpd="sng" algn="ctr">
            <a:solidFill>
              <a:schemeClr val="tx1">
                <a:tint val="75000"/>
                <a:shade val="60000"/>
              </a:schemeClr>
            </a:solidFill>
            <a:prstDash val="solid"/>
            <a:round/>
          </a:ln>
          <a:effectLst/>
        </c:spPr>
        <c:txPr>
          <a:bodyPr rot="-540000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tint val="75000"/>
                  <a:shade val="60000"/>
                </a:schemeClr>
              </a:solidFill>
              <a:prstDash val="solid"/>
              <a:round/>
            </a:ln>
            <a:effectLst/>
          </c:spPr>
        </c:majorGridlines>
        <c:numFmt formatCode="#,##0" sourceLinked="0"/>
        <c:majorTickMark val="out"/>
        <c:minorTickMark val="none"/>
        <c:tickLblPos val="nextTo"/>
        <c:spPr>
          <a:noFill/>
          <a:ln w="9525" cap="flat" cmpd="sng" algn="ctr">
            <a:solidFill>
              <a:schemeClr val="tx1">
                <a:tint val="75000"/>
                <a:shade val="60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368882399"/>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tint val="75000"/>
          <a:shade val="60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[AAAAgeProjection.xls]PivotTable!PivotTable1</c:name>
    <c:fmtId val="-1"/>
  </c:pivotSource>
  <c:chart>
    <c:title>
      <c:tx>
        <c:rich>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r>
              <a:rPr lang="en-US"/>
              <a:t>Region 05 Population by Single Year of Age by Generation, (2024-2027)</a:t>
            </a:r>
          </a:p>
        </c:rich>
      </c:tx>
      <c:layout>
        <c:manualLayout>
          <c:xMode val="edge"/>
          <c:yMode val="edge"/>
          <c:x val="0.15707550979204524"/>
          <c:y val="4.204986451498452E-2"/>
        </c:manualLayout>
      </c:layout>
      <c:overlay val="1"/>
      <c:spPr>
        <a:noFill/>
        <a:ln>
          <a:noFill/>
        </a:ln>
        <a:effectLst/>
      </c:spPr>
      <c:txPr>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PivotTable!$B$4:$B$5</c:f>
              <c:strCache>
                <c:ptCount val="1"/>
                <c:pt idx="0">
                  <c:v>4Generation X</c:v>
                </c:pt>
              </c:strCache>
            </c:strRef>
          </c:tx>
          <c:spPr>
            <a:solidFill>
              <a:schemeClr val="accent1"/>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PivotTable!$B$6:$B$51</c:f>
              <c:numCache>
                <c:formatCode>General</c:formatCode>
                <c:ptCount val="46"/>
                <c:pt idx="0">
                  <c:v>2088.0610718179678</c:v>
                </c:pt>
                <c:pt idx="1">
                  <c:v>2121.5309951155109</c:v>
                </c:pt>
                <c:pt idx="2">
                  <c:v>2153.0390089541488</c:v>
                </c:pt>
                <c:pt idx="3">
                  <c:v>2194.6054552937521</c:v>
                </c:pt>
                <c:pt idx="4">
                  <c:v>2238.7986997405719</c:v>
                </c:pt>
                <c:pt idx="5">
                  <c:v>1719.921113800179</c:v>
                </c:pt>
                <c:pt idx="6">
                  <c:v>1164.4146769067438</c:v>
                </c:pt>
                <c:pt idx="7">
                  <c:v>590.800953034092</c:v>
                </c:pt>
              </c:numCache>
            </c:numRef>
          </c:val>
          <c:extLst>
            <c:ext xmlns:c16="http://schemas.microsoft.com/office/drawing/2014/chart" uri="{C3380CC4-5D6E-409C-BE32-E72D297353CC}">
              <c16:uniqueId val="{00000000-EC88-4B39-9951-5920791A7ADD}"/>
            </c:ext>
          </c:extLst>
        </c:ser>
        <c:ser>
          <c:idx val="1"/>
          <c:order val="1"/>
          <c:tx>
            <c:strRef>
              <c:f>PivotTable!$C$4:$C$5</c:f>
              <c:strCache>
                <c:ptCount val="1"/>
                <c:pt idx="0">
                  <c:v>3Baby Boomer</c:v>
                </c:pt>
              </c:strCache>
            </c:strRef>
          </c:tx>
          <c:spPr>
            <a:solidFill>
              <a:schemeClr val="accent3"/>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PivotTable!$C$6:$C$51</c:f>
              <c:numCache>
                <c:formatCode>General</c:formatCode>
                <c:ptCount val="46"/>
                <c:pt idx="5">
                  <c:v>644.29877687704197</c:v>
                </c:pt>
                <c:pt idx="6">
                  <c:v>1289.401382335911</c:v>
                </c:pt>
                <c:pt idx="7">
                  <c:v>1901.6826534668689</c:v>
                </c:pt>
                <c:pt idx="8">
                  <c:v>2545.2962171955478</c:v>
                </c:pt>
                <c:pt idx="9">
                  <c:v>2494.1451136097508</c:v>
                </c:pt>
                <c:pt idx="10">
                  <c:v>2466.980752164382</c:v>
                </c:pt>
                <c:pt idx="11">
                  <c:v>2429.8138238929341</c:v>
                </c:pt>
                <c:pt idx="12">
                  <c:v>2348.5773488504788</c:v>
                </c:pt>
                <c:pt idx="13">
                  <c:v>2274.0752422003311</c:v>
                </c:pt>
                <c:pt idx="14">
                  <c:v>2148.1876223048994</c:v>
                </c:pt>
                <c:pt idx="15">
                  <c:v>2038.3431378908201</c:v>
                </c:pt>
                <c:pt idx="16">
                  <c:v>1932.948135996359</c:v>
                </c:pt>
                <c:pt idx="17">
                  <c:v>1868.445256380066</c:v>
                </c:pt>
                <c:pt idx="18">
                  <c:v>1821.8288003861092</c:v>
                </c:pt>
                <c:pt idx="19">
                  <c:v>1721.5297535217201</c:v>
                </c:pt>
                <c:pt idx="20">
                  <c:v>1614.8671513046729</c:v>
                </c:pt>
                <c:pt idx="21">
                  <c:v>1496.8799271930632</c:v>
                </c:pt>
                <c:pt idx="22">
                  <c:v>1412.9618637512272</c:v>
                </c:pt>
                <c:pt idx="23">
                  <c:v>1310.6393445100359</c:v>
                </c:pt>
                <c:pt idx="24">
                  <c:v>942.08152005761303</c:v>
                </c:pt>
                <c:pt idx="25">
                  <c:v>597.76715466360497</c:v>
                </c:pt>
                <c:pt idx="26">
                  <c:v>260.53874457810502</c:v>
                </c:pt>
              </c:numCache>
            </c:numRef>
          </c:val>
          <c:extLst>
            <c:ext xmlns:c16="http://schemas.microsoft.com/office/drawing/2014/chart" uri="{C3380CC4-5D6E-409C-BE32-E72D297353CC}">
              <c16:uniqueId val="{00000001-EC88-4B39-9951-5920791A7ADD}"/>
            </c:ext>
          </c:extLst>
        </c:ser>
        <c:ser>
          <c:idx val="2"/>
          <c:order val="2"/>
          <c:tx>
            <c:strRef>
              <c:f>PivotTable!$D$4:$D$5</c:f>
              <c:strCache>
                <c:ptCount val="1"/>
                <c:pt idx="0">
                  <c:v>2Silent</c:v>
                </c:pt>
              </c:strCache>
            </c:strRef>
          </c:tx>
          <c:spPr>
            <a:solidFill>
              <a:schemeClr val="accent5"/>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PivotTable!$D$6:$D$51</c:f>
              <c:numCache>
                <c:formatCode>General</c:formatCode>
                <c:ptCount val="46"/>
                <c:pt idx="24">
                  <c:v>260.78181255402501</c:v>
                </c:pt>
                <c:pt idx="25">
                  <c:v>486.24678252642798</c:v>
                </c:pt>
                <c:pt idx="26">
                  <c:v>693.85216317426693</c:v>
                </c:pt>
                <c:pt idx="27">
                  <c:v>857.04800172942259</c:v>
                </c:pt>
                <c:pt idx="28">
                  <c:v>783.15548781162443</c:v>
                </c:pt>
                <c:pt idx="29">
                  <c:v>697.02883632434362</c:v>
                </c:pt>
                <c:pt idx="30">
                  <c:v>603.80420582403576</c:v>
                </c:pt>
                <c:pt idx="31">
                  <c:v>523.41901999368918</c:v>
                </c:pt>
                <c:pt idx="32">
                  <c:v>455.98974117196281</c:v>
                </c:pt>
                <c:pt idx="33">
                  <c:v>393.30776110155409</c:v>
                </c:pt>
                <c:pt idx="34">
                  <c:v>333.11003304616764</c:v>
                </c:pt>
                <c:pt idx="35">
                  <c:v>284.9158604843231</c:v>
                </c:pt>
                <c:pt idx="36">
                  <c:v>237.94507740280142</c:v>
                </c:pt>
                <c:pt idx="37">
                  <c:v>198.06656528779459</c:v>
                </c:pt>
                <c:pt idx="38">
                  <c:v>161.87394334819209</c:v>
                </c:pt>
                <c:pt idx="39">
                  <c:v>129.26630798964948</c:v>
                </c:pt>
                <c:pt idx="40">
                  <c:v>101.2283355609719</c:v>
                </c:pt>
                <c:pt idx="41">
                  <c:v>80.69472987408443</c:v>
                </c:pt>
                <c:pt idx="42">
                  <c:v>48.443479366131257</c:v>
                </c:pt>
                <c:pt idx="43">
                  <c:v>25.500733462257109</c:v>
                </c:pt>
                <c:pt idx="44">
                  <c:v>9.8717755668266296</c:v>
                </c:pt>
              </c:numCache>
            </c:numRef>
          </c:val>
          <c:extLst>
            <c:ext xmlns:c16="http://schemas.microsoft.com/office/drawing/2014/chart" uri="{C3380CC4-5D6E-409C-BE32-E72D297353CC}">
              <c16:uniqueId val="{00000002-EC88-4B39-9951-5920791A7ADD}"/>
            </c:ext>
          </c:extLst>
        </c:ser>
        <c:ser>
          <c:idx val="3"/>
          <c:order val="3"/>
          <c:tx>
            <c:strRef>
              <c:f>PivotTable!$E$4:$E$5</c:f>
              <c:strCache>
                <c:ptCount val="1"/>
                <c:pt idx="0">
                  <c:v>1Greatest</c:v>
                </c:pt>
              </c:strCache>
            </c:strRef>
          </c:tx>
          <c:spPr>
            <a:solidFill>
              <a:schemeClr val="accent1">
                <a:lumMod val="60000"/>
              </a:schemeClr>
            </a:solidFill>
            <a:ln>
              <a:noFill/>
            </a:ln>
            <a:effectLst/>
          </c:spPr>
          <c:invertIfNegative val="0"/>
          <c:cat>
            <c:strRef>
              <c:f>PivotTable!$A$6:$A$51</c:f>
              <c:strCache>
                <c:ptCount val="4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strCache>
            </c:strRef>
          </c:cat>
          <c:val>
            <c:numRef>
              <c:f>PivotTable!$E$6:$E$51</c:f>
              <c:numCache>
                <c:formatCode>General</c:formatCode>
                <c:ptCount val="46"/>
                <c:pt idx="42">
                  <c:v>18.376748905540701</c:v>
                </c:pt>
                <c:pt idx="43">
                  <c:v>27.05206015249685</c:v>
                </c:pt>
                <c:pt idx="44">
                  <c:v>27.906966187978011</c:v>
                </c:pt>
                <c:pt idx="45">
                  <c:v>64.480764662707898</c:v>
                </c:pt>
              </c:numCache>
            </c:numRef>
          </c:val>
          <c:extLst>
            <c:ext xmlns:c16="http://schemas.microsoft.com/office/drawing/2014/chart" uri="{C3380CC4-5D6E-409C-BE32-E72D297353CC}">
              <c16:uniqueId val="{00000003-EC88-4B39-9951-5920791A7ADD}"/>
            </c:ext>
          </c:extLst>
        </c:ser>
        <c:dLbls>
          <c:showLegendKey val="0"/>
          <c:showVal val="0"/>
          <c:showCatName val="0"/>
          <c:showSerName val="0"/>
          <c:showPercent val="0"/>
          <c:showBubbleSize val="0"/>
        </c:dLbls>
        <c:gapWidth val="0"/>
        <c:overlap val="86"/>
        <c:axId val="368882399"/>
        <c:axId val="1"/>
      </c:barChart>
      <c:catAx>
        <c:axId val="368882399"/>
        <c:scaling>
          <c:orientation val="minMax"/>
        </c:scaling>
        <c:delete val="0"/>
        <c:axPos val="b"/>
        <c:numFmt formatCode="General" sourceLinked="0"/>
        <c:majorTickMark val="out"/>
        <c:minorTickMark val="none"/>
        <c:tickLblPos val="nextTo"/>
        <c:spPr>
          <a:noFill/>
          <a:ln w="9525" cap="flat" cmpd="sng" algn="ctr">
            <a:solidFill>
              <a:schemeClr val="tx1">
                <a:tint val="75000"/>
                <a:shade val="60000"/>
              </a:schemeClr>
            </a:solidFill>
            <a:prstDash val="solid"/>
            <a:round/>
          </a:ln>
          <a:effectLst/>
        </c:spPr>
        <c:txPr>
          <a:bodyPr rot="-540000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tint val="75000"/>
                  <a:shade val="60000"/>
                </a:schemeClr>
              </a:solidFill>
              <a:prstDash val="solid"/>
              <a:round/>
            </a:ln>
            <a:effectLst/>
          </c:spPr>
        </c:majorGridlines>
        <c:numFmt formatCode="#,##0" sourceLinked="0"/>
        <c:majorTickMark val="out"/>
        <c:minorTickMark val="none"/>
        <c:tickLblPos val="nextTo"/>
        <c:spPr>
          <a:noFill/>
          <a:ln w="9525" cap="flat" cmpd="sng" algn="ctr">
            <a:solidFill>
              <a:schemeClr val="tx1">
                <a:tint val="75000"/>
                <a:shade val="60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368882399"/>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tint val="75000"/>
          <a:shade val="60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[AAAPopulationPyramids.xls]PopulationPyramid!PivotTable1</c:name>
    <c:fmtId val="-1"/>
  </c:pivotSource>
  <c:chart>
    <c:title>
      <c:tx>
        <c:strRef>
          <c:f>[AAAPopulationPyramids.xls]PopulationPyramid!$D$1</c:f>
          <c:strCache>
            <c:ptCount val="1"/>
            <c:pt idx="0">
              <c:v>2020 Population Pyramid for AAA Region 05</c:v>
            </c:pt>
          </c:strCache>
        </c:strRef>
      </c:tx>
      <c:overlay val="0"/>
      <c:spPr>
        <a:noFill/>
        <a:ln>
          <a:noFill/>
        </a:ln>
        <a:effectLst/>
      </c:spPr>
      <c:txPr>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endParaRPr lang="en-US"/>
        </a:p>
      </c:txPr>
    </c:title>
    <c:autoTitleDeleted val="0"/>
    <c:pivotFmts>
      <c:pivotFmt>
        <c:idx val="0"/>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[AAAPopulationPyramids.xls]PopulationPyramid!$D$1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[AAAPopulationPyramids.xls]PopulationPyramid!$D$1</c:f>
              <c:strCache>
                <c:ptCount val="18"/>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strCache>
            </c:strRef>
          </c:cat>
          <c:val>
            <c:numRef>
              <c:f>[AAAPopulationPyramids.xls]PopulationPyramid!$D$1</c:f>
              <c:numCache>
                <c:formatCode>#,##0</c:formatCode>
                <c:ptCount val="18"/>
                <c:pt idx="0">
                  <c:v>-1064.666180044871</c:v>
                </c:pt>
                <c:pt idx="1">
                  <c:v>-1191.915066278837</c:v>
                </c:pt>
                <c:pt idx="2">
                  <c:v>-1271.3145738718188</c:v>
                </c:pt>
                <c:pt idx="3">
                  <c:v>-1173.908679605137</c:v>
                </c:pt>
                <c:pt idx="4">
                  <c:v>-1194.526628569183</c:v>
                </c:pt>
                <c:pt idx="5">
                  <c:v>-1454.652827272366</c:v>
                </c:pt>
                <c:pt idx="6">
                  <c:v>-1347.937028820151</c:v>
                </c:pt>
                <c:pt idx="7">
                  <c:v>-1442.3566274222039</c:v>
                </c:pt>
                <c:pt idx="8">
                  <c:v>-1275.8202424196838</c:v>
                </c:pt>
                <c:pt idx="9">
                  <c:v>-1174.134224295067</c:v>
                </c:pt>
                <c:pt idx="10">
                  <c:v>-1400.625103395678</c:v>
                </c:pt>
                <c:pt idx="11">
                  <c:v>-1654.1025560569649</c:v>
                </c:pt>
                <c:pt idx="12">
                  <c:v>-1560.9685013739152</c:v>
                </c:pt>
                <c:pt idx="13">
                  <c:v>-1288.1648946845939</c:v>
                </c:pt>
                <c:pt idx="14">
                  <c:v>-971.39345929757894</c:v>
                </c:pt>
                <c:pt idx="15">
                  <c:v>-658.738963779301</c:v>
                </c:pt>
                <c:pt idx="16">
                  <c:v>-392.86318915561299</c:v>
                </c:pt>
                <c:pt idx="17">
                  <c:v>-307.94895201426067</c:v>
                </c:pt>
              </c:numCache>
            </c:numRef>
          </c:val>
          <c:extLst>
            <c:ext xmlns:c16="http://schemas.microsoft.com/office/drawing/2014/chart" uri="{C3380CC4-5D6E-409C-BE32-E72D297353CC}">
              <c16:uniqueId val="{00000000-F3A2-42D4-BFA3-65D240B43A93}"/>
            </c:ext>
          </c:extLst>
        </c:ser>
        <c:ser>
          <c:idx val="1"/>
          <c:order val="1"/>
          <c:tx>
            <c:strRef>
              <c:f>[AAAPopulationPyramids.xls]PopulationPyramid!$D$1</c:f>
              <c:strCache>
                <c:ptCount val="1"/>
                <c:pt idx="0">
                  <c:v>Female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[AAAPopulationPyramids.xls]PopulationPyramid!$D$1</c:f>
              <c:strCache>
                <c:ptCount val="18"/>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strCache>
            </c:strRef>
          </c:cat>
          <c:val>
            <c:numRef>
              <c:f>[AAAPopulationPyramids.xls]PopulationPyramid!$D$1</c:f>
              <c:numCache>
                <c:formatCode>#,##0</c:formatCode>
                <c:ptCount val="18"/>
                <c:pt idx="0">
                  <c:v>1025.2338629918281</c:v>
                </c:pt>
                <c:pt idx="1">
                  <c:v>1155.759556834561</c:v>
                </c:pt>
                <c:pt idx="2">
                  <c:v>1228.7927422582541</c:v>
                </c:pt>
                <c:pt idx="3">
                  <c:v>1189.6983656677889</c:v>
                </c:pt>
                <c:pt idx="4">
                  <c:v>1046.1506820101811</c:v>
                </c:pt>
                <c:pt idx="5">
                  <c:v>1228.9120388168149</c:v>
                </c:pt>
                <c:pt idx="6">
                  <c:v>1141.3979856461401</c:v>
                </c:pt>
                <c:pt idx="7">
                  <c:v>1134.471630985445</c:v>
                </c:pt>
                <c:pt idx="8">
                  <c:v>1109.2448713838419</c:v>
                </c:pt>
                <c:pt idx="9">
                  <c:v>1142.5907595168089</c:v>
                </c:pt>
                <c:pt idx="10">
                  <c:v>1345.9822736975541</c:v>
                </c:pt>
                <c:pt idx="11">
                  <c:v>1614.9651284623751</c:v>
                </c:pt>
                <c:pt idx="12">
                  <c:v>1581.8718623025329</c:v>
                </c:pt>
                <c:pt idx="13">
                  <c:v>1331.280500202746</c:v>
                </c:pt>
                <c:pt idx="14">
                  <c:v>1047.5878329546599</c:v>
                </c:pt>
                <c:pt idx="15">
                  <c:v>658.88910954395692</c:v>
                </c:pt>
                <c:pt idx="16">
                  <c:v>413.09289474614059</c:v>
                </c:pt>
                <c:pt idx="17">
                  <c:v>446.04020362114824</c:v>
                </c:pt>
              </c:numCache>
            </c:numRef>
          </c:val>
          <c:extLst>
            <c:ext xmlns:c16="http://schemas.microsoft.com/office/drawing/2014/chart" uri="{C3380CC4-5D6E-409C-BE32-E72D297353CC}">
              <c16:uniqueId val="{00000001-F3A2-42D4-BFA3-65D240B43A93}"/>
            </c:ext>
          </c:extLst>
        </c:ser>
        <c:dLbls>
          <c:dLblPos val="outEnd"/>
          <c:showLegendKey val="0"/>
          <c:showVal val="1"/>
          <c:showCatName val="0"/>
          <c:showSerName val="0"/>
          <c:showPercent val="0"/>
          <c:showBubbleSize val="0"/>
        </c:dLbls>
        <c:gapWidth val="15"/>
        <c:overlap val="100"/>
        <c:axId val="461429967"/>
        <c:axId val="1"/>
      </c:barChart>
      <c:catAx>
        <c:axId val="461429967"/>
        <c:scaling>
          <c:orientation val="minMax"/>
        </c:scaling>
        <c:delete val="0"/>
        <c:axPos val="l"/>
        <c:numFmt formatCode="General" sourceLinked="0"/>
        <c:majorTickMark val="none"/>
        <c:minorTickMark val="none"/>
        <c:tickLblPos val="low"/>
        <c:spPr>
          <a:noFill/>
          <a:ln w="9525" cap="flat" cmpd="sng" algn="ctr">
            <a:solidFill>
              <a:schemeClr val="tx1">
                <a:tint val="75000"/>
                <a:shade val="60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1"/>
        <c:crosses val="autoZero"/>
        <c:auto val="0"/>
        <c:lblAlgn val="ctr"/>
        <c:lblOffset val="100"/>
        <c:noMultiLvlLbl val="0"/>
      </c:catAx>
      <c:valAx>
        <c:axId val="1"/>
        <c:scaling>
          <c:orientation val="minMax"/>
        </c:scaling>
        <c:delete val="0"/>
        <c:axPos val="b"/>
        <c:majorGridlines>
          <c:spPr>
            <a:ln w="9525" cap="flat" cmpd="sng" algn="ctr">
              <a:solidFill>
                <a:schemeClr val="tx1">
                  <a:tint val="75000"/>
                  <a:shade val="60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60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461429967"/>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20" b="0" i="0" u="none" strike="noStrike" kern="1200"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tint val="75000"/>
          <a:shade val="60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Region 5 Race and Ethnicity Breakdown by</a:t>
            </a:r>
            <a:r>
              <a:rPr lang="en-US" baseline="0"/>
              <a:t> County</a:t>
            </a:r>
            <a:r>
              <a:rPr lang="en-US"/>
              <a:t> (2021 data)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834578370011443E-2"/>
          <c:y val="0.21599375130409953"/>
          <c:w val="0.88397738744195442"/>
          <c:h val="0.65835447347324261"/>
        </c:manualLayout>
      </c:layout>
      <c:barChart>
        <c:barDir val="col"/>
        <c:grouping val="clustered"/>
        <c:varyColors val="0"/>
        <c:ser>
          <c:idx val="0"/>
          <c:order val="0"/>
          <c:tx>
            <c:strRef>
              <c:f>codemogexport!$A$2</c:f>
              <c:strCache>
                <c:ptCount val="1"/>
                <c:pt idx="0">
                  <c:v>Elbert</c:v>
                </c:pt>
              </c:strCache>
            </c:strRef>
          </c:tx>
          <c:spPr>
            <a:solidFill>
              <a:schemeClr val="accent1"/>
            </a:solidFill>
            <a:ln>
              <a:noFill/>
            </a:ln>
            <a:effectLst/>
          </c:spPr>
          <c:invertIfNegative val="0"/>
          <c:cat>
            <c:strRef>
              <c:f>codemogexport!$B$1:$K$1</c:f>
              <c:strCache>
                <c:ptCount val="7"/>
                <c:pt idx="0">
                  <c:v>Percent Hispanic</c:v>
                </c:pt>
                <c:pt idx="1">
                  <c:v>Percent People of Color</c:v>
                </c:pt>
                <c:pt idx="2">
                  <c:v>Percent White, Non-Hispanic</c:v>
                </c:pt>
                <c:pt idx="3">
                  <c:v>Percent Black, Non-Hispanic</c:v>
                </c:pt>
                <c:pt idx="4">
                  <c:v>Percent Native American, Non-Hispanic</c:v>
                </c:pt>
                <c:pt idx="5">
                  <c:v>Percent Asian, Non-Hispanic</c:v>
                </c:pt>
                <c:pt idx="6">
                  <c:v>Percent Two or More Races, Non-Hispanic</c:v>
                </c:pt>
              </c:strCache>
              <c:extLst/>
            </c:strRef>
          </c:cat>
          <c:val>
            <c:numRef>
              <c:f>codemogexport!$B$2:$K$2</c:f>
              <c:numCache>
                <c:formatCode>0.00%</c:formatCode>
                <c:ptCount val="7"/>
                <c:pt idx="0">
                  <c:v>7.8299999999999995E-2</c:v>
                </c:pt>
                <c:pt idx="1">
                  <c:v>0.1464</c:v>
                </c:pt>
                <c:pt idx="2">
                  <c:v>0.85360000000000003</c:v>
                </c:pt>
                <c:pt idx="3">
                  <c:v>2.5000000000000001E-3</c:v>
                </c:pt>
                <c:pt idx="4">
                  <c:v>4.5999999999999999E-3</c:v>
                </c:pt>
                <c:pt idx="5">
                  <c:v>8.9999999999999993E-3</c:v>
                </c:pt>
                <c:pt idx="6">
                  <c:v>4.9599999999999998E-2</c:v>
                </c:pt>
              </c:numCache>
              <c:extLst/>
            </c:numRef>
          </c:val>
          <c:extLst>
            <c:ext xmlns:c16="http://schemas.microsoft.com/office/drawing/2014/chart" uri="{C3380CC4-5D6E-409C-BE32-E72D297353CC}">
              <c16:uniqueId val="{00000000-FD0F-4112-8DFB-48902D3AE6B3}"/>
            </c:ext>
          </c:extLst>
        </c:ser>
        <c:ser>
          <c:idx val="1"/>
          <c:order val="1"/>
          <c:tx>
            <c:strRef>
              <c:f>codemogexport!$A$3</c:f>
              <c:strCache>
                <c:ptCount val="1"/>
                <c:pt idx="0">
                  <c:v>Lincoln</c:v>
                </c:pt>
              </c:strCache>
            </c:strRef>
          </c:tx>
          <c:spPr>
            <a:solidFill>
              <a:schemeClr val="accent3"/>
            </a:solidFill>
            <a:ln>
              <a:noFill/>
            </a:ln>
            <a:effectLst/>
          </c:spPr>
          <c:invertIfNegative val="0"/>
          <c:cat>
            <c:strRef>
              <c:f>codemogexport!$B$1:$K$1</c:f>
              <c:strCache>
                <c:ptCount val="7"/>
                <c:pt idx="0">
                  <c:v>Percent Hispanic</c:v>
                </c:pt>
                <c:pt idx="1">
                  <c:v>Percent People of Color</c:v>
                </c:pt>
                <c:pt idx="2">
                  <c:v>Percent White, Non-Hispanic</c:v>
                </c:pt>
                <c:pt idx="3">
                  <c:v>Percent Black, Non-Hispanic</c:v>
                </c:pt>
                <c:pt idx="4">
                  <c:v>Percent Native American, Non-Hispanic</c:v>
                </c:pt>
                <c:pt idx="5">
                  <c:v>Percent Asian, Non-Hispanic</c:v>
                </c:pt>
                <c:pt idx="6">
                  <c:v>Percent Two or More Races, Non-Hispanic</c:v>
                </c:pt>
              </c:strCache>
              <c:extLst/>
            </c:strRef>
          </c:cat>
          <c:val>
            <c:numRef>
              <c:f>codemogexport!$B$3:$K$3</c:f>
              <c:numCache>
                <c:formatCode>0.00%</c:formatCode>
                <c:ptCount val="7"/>
                <c:pt idx="0">
                  <c:v>0.1913</c:v>
                </c:pt>
                <c:pt idx="1">
                  <c:v>0.29499999999999998</c:v>
                </c:pt>
                <c:pt idx="2">
                  <c:v>0.70499999999999996</c:v>
                </c:pt>
                <c:pt idx="3">
                  <c:v>7.9799999999999996E-2</c:v>
                </c:pt>
                <c:pt idx="4">
                  <c:v>3.7000000000000002E-3</c:v>
                </c:pt>
                <c:pt idx="5">
                  <c:v>3.8999999999999998E-3</c:v>
                </c:pt>
                <c:pt idx="6">
                  <c:v>1.6E-2</c:v>
                </c:pt>
              </c:numCache>
              <c:extLst/>
            </c:numRef>
          </c:val>
          <c:extLst>
            <c:ext xmlns:c16="http://schemas.microsoft.com/office/drawing/2014/chart" uri="{C3380CC4-5D6E-409C-BE32-E72D297353CC}">
              <c16:uniqueId val="{00000001-FD0F-4112-8DFB-48902D3AE6B3}"/>
            </c:ext>
          </c:extLst>
        </c:ser>
        <c:ser>
          <c:idx val="2"/>
          <c:order val="2"/>
          <c:tx>
            <c:strRef>
              <c:f>codemogexport!$A$4</c:f>
              <c:strCache>
                <c:ptCount val="1"/>
                <c:pt idx="0">
                  <c:v>Kit Carson</c:v>
                </c:pt>
              </c:strCache>
            </c:strRef>
          </c:tx>
          <c:spPr>
            <a:solidFill>
              <a:schemeClr val="accent5"/>
            </a:solidFill>
            <a:ln>
              <a:noFill/>
            </a:ln>
            <a:effectLst/>
          </c:spPr>
          <c:invertIfNegative val="0"/>
          <c:cat>
            <c:strRef>
              <c:f>codemogexport!$B$1:$K$1</c:f>
              <c:strCache>
                <c:ptCount val="7"/>
                <c:pt idx="0">
                  <c:v>Percent Hispanic</c:v>
                </c:pt>
                <c:pt idx="1">
                  <c:v>Percent People of Color</c:v>
                </c:pt>
                <c:pt idx="2">
                  <c:v>Percent White, Non-Hispanic</c:v>
                </c:pt>
                <c:pt idx="3">
                  <c:v>Percent Black, Non-Hispanic</c:v>
                </c:pt>
                <c:pt idx="4">
                  <c:v>Percent Native American, Non-Hispanic</c:v>
                </c:pt>
                <c:pt idx="5">
                  <c:v>Percent Asian, Non-Hispanic</c:v>
                </c:pt>
                <c:pt idx="6">
                  <c:v>Percent Two or More Races, Non-Hispanic</c:v>
                </c:pt>
              </c:strCache>
              <c:extLst/>
            </c:strRef>
          </c:cat>
          <c:val>
            <c:numRef>
              <c:f>codemogexport!$B$4:$K$4</c:f>
              <c:numCache>
                <c:formatCode>0.00%</c:formatCode>
                <c:ptCount val="7"/>
                <c:pt idx="0">
                  <c:v>0.1875</c:v>
                </c:pt>
                <c:pt idx="1">
                  <c:v>0.2324</c:v>
                </c:pt>
                <c:pt idx="2">
                  <c:v>0.76759999999999995</c:v>
                </c:pt>
                <c:pt idx="3">
                  <c:v>8.0000000000000004E-4</c:v>
                </c:pt>
                <c:pt idx="4">
                  <c:v>6.1000000000000004E-3</c:v>
                </c:pt>
                <c:pt idx="5">
                  <c:v>6.9999999999999999E-4</c:v>
                </c:pt>
                <c:pt idx="6">
                  <c:v>3.5799999999999998E-2</c:v>
                </c:pt>
              </c:numCache>
              <c:extLst/>
            </c:numRef>
          </c:val>
          <c:extLst>
            <c:ext xmlns:c16="http://schemas.microsoft.com/office/drawing/2014/chart" uri="{C3380CC4-5D6E-409C-BE32-E72D297353CC}">
              <c16:uniqueId val="{00000002-FD0F-4112-8DFB-48902D3AE6B3}"/>
            </c:ext>
          </c:extLst>
        </c:ser>
        <c:ser>
          <c:idx val="3"/>
          <c:order val="3"/>
          <c:tx>
            <c:strRef>
              <c:f>codemogexport!$A$5</c:f>
              <c:strCache>
                <c:ptCount val="1"/>
                <c:pt idx="0">
                  <c:v>Cheyenne</c:v>
                </c:pt>
              </c:strCache>
            </c:strRef>
          </c:tx>
          <c:spPr>
            <a:solidFill>
              <a:schemeClr val="accent1">
                <a:lumMod val="60000"/>
              </a:schemeClr>
            </a:solidFill>
            <a:ln>
              <a:noFill/>
            </a:ln>
            <a:effectLst/>
          </c:spPr>
          <c:invertIfNegative val="0"/>
          <c:cat>
            <c:strRef>
              <c:f>codemogexport!$B$1:$K$1</c:f>
              <c:strCache>
                <c:ptCount val="7"/>
                <c:pt idx="0">
                  <c:v>Percent Hispanic</c:v>
                </c:pt>
                <c:pt idx="1">
                  <c:v>Percent People of Color</c:v>
                </c:pt>
                <c:pt idx="2">
                  <c:v>Percent White, Non-Hispanic</c:v>
                </c:pt>
                <c:pt idx="3">
                  <c:v>Percent Black, Non-Hispanic</c:v>
                </c:pt>
                <c:pt idx="4">
                  <c:v>Percent Native American, Non-Hispanic</c:v>
                </c:pt>
                <c:pt idx="5">
                  <c:v>Percent Asian, Non-Hispanic</c:v>
                </c:pt>
                <c:pt idx="6">
                  <c:v>Percent Two or More Races, Non-Hispanic</c:v>
                </c:pt>
              </c:strCache>
              <c:extLst/>
            </c:strRef>
          </c:cat>
          <c:val>
            <c:numRef>
              <c:f>codemogexport!$B$5:$K$5</c:f>
              <c:numCache>
                <c:formatCode>0.00%</c:formatCode>
                <c:ptCount val="7"/>
                <c:pt idx="0">
                  <c:v>0.1195</c:v>
                </c:pt>
                <c:pt idx="1">
                  <c:v>0.19220000000000001</c:v>
                </c:pt>
                <c:pt idx="2">
                  <c:v>0.80779999999999996</c:v>
                </c:pt>
                <c:pt idx="3">
                  <c:v>3.0000000000000001E-3</c:v>
                </c:pt>
                <c:pt idx="4">
                  <c:v>0</c:v>
                </c:pt>
                <c:pt idx="5">
                  <c:v>1.8E-3</c:v>
                </c:pt>
                <c:pt idx="6">
                  <c:v>6.4500000000000002E-2</c:v>
                </c:pt>
              </c:numCache>
              <c:extLst/>
            </c:numRef>
          </c:val>
          <c:extLst>
            <c:ext xmlns:c16="http://schemas.microsoft.com/office/drawing/2014/chart" uri="{C3380CC4-5D6E-409C-BE32-E72D297353CC}">
              <c16:uniqueId val="{00000003-FD0F-4112-8DFB-48902D3AE6B3}"/>
            </c:ext>
          </c:extLst>
        </c:ser>
        <c:dLbls>
          <c:showLegendKey val="0"/>
          <c:showVal val="0"/>
          <c:showCatName val="0"/>
          <c:showSerName val="0"/>
          <c:showPercent val="0"/>
          <c:showBubbleSize val="0"/>
        </c:dLbls>
        <c:gapWidth val="219"/>
        <c:overlap val="-27"/>
        <c:axId val="694640879"/>
        <c:axId val="313959215"/>
      </c:barChart>
      <c:catAx>
        <c:axId val="694640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959215"/>
        <c:crosses val="autoZero"/>
        <c:auto val="1"/>
        <c:lblAlgn val="ctr"/>
        <c:lblOffset val="100"/>
        <c:noMultiLvlLbl val="0"/>
      </c:catAx>
      <c:valAx>
        <c:axId val="3139592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40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Region 5 Poverty Levels (2021</a:t>
            </a:r>
            <a:r>
              <a:rPr lang="en-US" baseline="0"/>
              <a:t> Data)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povertycodemogexport!$A$2</c:f>
              <c:strCache>
                <c:ptCount val="1"/>
                <c:pt idx="0">
                  <c:v>Elbert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povertycodemogexport!$B$1:$F$1</c:f>
              <c:strCache>
                <c:ptCount val="4"/>
                <c:pt idx="0">
                  <c:v>Percent Below 50% of Poverty</c:v>
                </c:pt>
                <c:pt idx="1">
                  <c:v>Percent Below 100% of Poverty</c:v>
                </c:pt>
                <c:pt idx="2">
                  <c:v>Percent Below 150% of Poverty</c:v>
                </c:pt>
                <c:pt idx="3">
                  <c:v>Percent Below 200% of Poverty</c:v>
                </c:pt>
              </c:strCache>
            </c:strRef>
          </c:cat>
          <c:val>
            <c:numRef>
              <c:f>povertycodemogexport!$B$2:$F$2</c:f>
              <c:numCache>
                <c:formatCode>0.00%</c:formatCode>
                <c:ptCount val="4"/>
                <c:pt idx="0">
                  <c:v>2.3099999999999999E-2</c:v>
                </c:pt>
                <c:pt idx="1">
                  <c:v>4.2000000000000003E-2</c:v>
                </c:pt>
                <c:pt idx="2">
                  <c:v>0.10879999999999999</c:v>
                </c:pt>
                <c:pt idx="3">
                  <c:v>0.1462</c:v>
                </c:pt>
              </c:numCache>
            </c:numRef>
          </c:val>
          <c:extLst>
            <c:ext xmlns:c16="http://schemas.microsoft.com/office/drawing/2014/chart" uri="{C3380CC4-5D6E-409C-BE32-E72D297353CC}">
              <c16:uniqueId val="{00000000-FDB3-4560-ABE6-7FAFC0CE95C1}"/>
            </c:ext>
          </c:extLst>
        </c:ser>
        <c:ser>
          <c:idx val="1"/>
          <c:order val="1"/>
          <c:tx>
            <c:strRef>
              <c:f>povertycodemogexport!$A$3</c:f>
              <c:strCache>
                <c:ptCount val="1"/>
                <c:pt idx="0">
                  <c:v>Lincoln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povertycodemogexport!$B$1:$F$1</c:f>
              <c:strCache>
                <c:ptCount val="4"/>
                <c:pt idx="0">
                  <c:v>Percent Below 50% of Poverty</c:v>
                </c:pt>
                <c:pt idx="1">
                  <c:v>Percent Below 100% of Poverty</c:v>
                </c:pt>
                <c:pt idx="2">
                  <c:v>Percent Below 150% of Poverty</c:v>
                </c:pt>
                <c:pt idx="3">
                  <c:v>Percent Below 200% of Poverty</c:v>
                </c:pt>
              </c:strCache>
            </c:strRef>
          </c:cat>
          <c:val>
            <c:numRef>
              <c:f>povertycodemogexport!$B$3:$F$3</c:f>
              <c:numCache>
                <c:formatCode>0.00%</c:formatCode>
                <c:ptCount val="4"/>
                <c:pt idx="0">
                  <c:v>5.7799999999999997E-2</c:v>
                </c:pt>
                <c:pt idx="1">
                  <c:v>0.1245</c:v>
                </c:pt>
                <c:pt idx="2">
                  <c:v>0.25359999999999999</c:v>
                </c:pt>
                <c:pt idx="3">
                  <c:v>0.35959999999999998</c:v>
                </c:pt>
              </c:numCache>
            </c:numRef>
          </c:val>
          <c:extLst>
            <c:ext xmlns:c16="http://schemas.microsoft.com/office/drawing/2014/chart" uri="{C3380CC4-5D6E-409C-BE32-E72D297353CC}">
              <c16:uniqueId val="{00000001-FDB3-4560-ABE6-7FAFC0CE95C1}"/>
            </c:ext>
          </c:extLst>
        </c:ser>
        <c:ser>
          <c:idx val="2"/>
          <c:order val="2"/>
          <c:tx>
            <c:strRef>
              <c:f>povertycodemogexport!$A$4</c:f>
              <c:strCache>
                <c:ptCount val="1"/>
                <c:pt idx="0">
                  <c:v>Kit Carson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povertycodemogexport!$B$1:$F$1</c:f>
              <c:strCache>
                <c:ptCount val="4"/>
                <c:pt idx="0">
                  <c:v>Percent Below 50% of Poverty</c:v>
                </c:pt>
                <c:pt idx="1">
                  <c:v>Percent Below 100% of Poverty</c:v>
                </c:pt>
                <c:pt idx="2">
                  <c:v>Percent Below 150% of Poverty</c:v>
                </c:pt>
                <c:pt idx="3">
                  <c:v>Percent Below 200% of Poverty</c:v>
                </c:pt>
              </c:strCache>
            </c:strRef>
          </c:cat>
          <c:val>
            <c:numRef>
              <c:f>povertycodemogexport!$B$4:$F$4</c:f>
              <c:numCache>
                <c:formatCode>0.00%</c:formatCode>
                <c:ptCount val="4"/>
                <c:pt idx="0">
                  <c:v>2.7199999999999998E-2</c:v>
                </c:pt>
                <c:pt idx="1">
                  <c:v>9.1899999999999996E-2</c:v>
                </c:pt>
                <c:pt idx="2">
                  <c:v>0.252</c:v>
                </c:pt>
                <c:pt idx="3">
                  <c:v>0.3533</c:v>
                </c:pt>
              </c:numCache>
            </c:numRef>
          </c:val>
          <c:extLst>
            <c:ext xmlns:c16="http://schemas.microsoft.com/office/drawing/2014/chart" uri="{C3380CC4-5D6E-409C-BE32-E72D297353CC}">
              <c16:uniqueId val="{00000002-FDB3-4560-ABE6-7FAFC0CE95C1}"/>
            </c:ext>
          </c:extLst>
        </c:ser>
        <c:ser>
          <c:idx val="3"/>
          <c:order val="3"/>
          <c:tx>
            <c:strRef>
              <c:f>povertycodemogexport!$A$5</c:f>
              <c:strCache>
                <c:ptCount val="1"/>
                <c:pt idx="0">
                  <c:v>Cheyenne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povertycodemogexport!$B$1:$F$1</c:f>
              <c:strCache>
                <c:ptCount val="4"/>
                <c:pt idx="0">
                  <c:v>Percent Below 50% of Poverty</c:v>
                </c:pt>
                <c:pt idx="1">
                  <c:v>Percent Below 100% of Poverty</c:v>
                </c:pt>
                <c:pt idx="2">
                  <c:v>Percent Below 150% of Poverty</c:v>
                </c:pt>
                <c:pt idx="3">
                  <c:v>Percent Below 200% of Poverty</c:v>
                </c:pt>
              </c:strCache>
            </c:strRef>
          </c:cat>
          <c:val>
            <c:numRef>
              <c:f>povertycodemogexport!$B$5:$F$5</c:f>
              <c:numCache>
                <c:formatCode>0.00%</c:formatCode>
                <c:ptCount val="4"/>
                <c:pt idx="0">
                  <c:v>2.7799999999999998E-2</c:v>
                </c:pt>
                <c:pt idx="1">
                  <c:v>0.11550000000000001</c:v>
                </c:pt>
                <c:pt idx="2">
                  <c:v>0.17299999999999999</c:v>
                </c:pt>
                <c:pt idx="3">
                  <c:v>0.27889999999999998</c:v>
                </c:pt>
              </c:numCache>
            </c:numRef>
          </c:val>
          <c:extLst>
            <c:ext xmlns:c16="http://schemas.microsoft.com/office/drawing/2014/chart" uri="{C3380CC4-5D6E-409C-BE32-E72D297353CC}">
              <c16:uniqueId val="{00000003-FDB3-4560-ABE6-7FAFC0CE95C1}"/>
            </c:ext>
          </c:extLst>
        </c:ser>
        <c:dLbls>
          <c:dLblPos val="outEnd"/>
          <c:showLegendKey val="0"/>
          <c:showVal val="1"/>
          <c:showCatName val="0"/>
          <c:showSerName val="0"/>
          <c:showPercent val="0"/>
          <c:showBubbleSize val="0"/>
        </c:dLbls>
        <c:gapWidth val="182"/>
        <c:axId val="603688991"/>
        <c:axId val="1080086831"/>
      </c:barChart>
      <c:catAx>
        <c:axId val="60368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086831"/>
        <c:crosses val="autoZero"/>
        <c:auto val="1"/>
        <c:lblAlgn val="ctr"/>
        <c:lblOffset val="100"/>
        <c:noMultiLvlLbl val="0"/>
      </c:catAx>
      <c:valAx>
        <c:axId val="108008683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688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3096-D217-4588-B158-C66538E0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7180</Words>
  <Characters>40930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Vanous</dc:creator>
  <cp:keywords/>
  <dc:description/>
  <cp:lastModifiedBy>Candace Payne</cp:lastModifiedBy>
  <cp:revision>10</cp:revision>
  <cp:lastPrinted>2023-03-21T18:03:00Z</cp:lastPrinted>
  <dcterms:created xsi:type="dcterms:W3CDTF">2023-03-21T18:02:00Z</dcterms:created>
  <dcterms:modified xsi:type="dcterms:W3CDTF">2023-03-21T18:07:00Z</dcterms:modified>
</cp:coreProperties>
</file>